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E2963" w14:textId="5C348552" w:rsidR="009E7EF6" w:rsidRPr="00C450D1" w:rsidRDefault="009E7EF6" w:rsidP="005006DD">
      <w:pPr>
        <w:pStyle w:val="Heading1"/>
        <w:spacing w:before="0"/>
        <w:rPr>
          <w:rFonts w:asciiTheme="minorHAnsi" w:eastAsiaTheme="minorEastAsia" w:hAnsiTheme="minorHAnsi" w:cstheme="minorBidi"/>
          <w:iCs w:val="0"/>
          <w:caps w:val="0"/>
          <w:color w:val="414042" w:themeColor="text1"/>
          <w:sz w:val="22"/>
          <w:szCs w:val="22"/>
          <w:lang w:val="en-AU" w:bidi="ar-SA"/>
        </w:rPr>
      </w:pPr>
      <w:bookmarkStart w:id="0" w:name="InvestmentsCurrentMarketView"/>
      <w:r w:rsidRPr="00C450D1">
        <w:rPr>
          <w:rFonts w:asciiTheme="minorHAnsi" w:eastAsiaTheme="minorEastAsia" w:hAnsiTheme="minorHAnsi" w:cstheme="minorBidi"/>
          <w:iCs w:val="0"/>
          <w:caps w:val="0"/>
          <w:color w:val="414042" w:themeColor="text1"/>
          <w:sz w:val="22"/>
          <w:szCs w:val="22"/>
          <w:lang w:val="en-AU" w:bidi="ar-SA"/>
        </w:rPr>
        <w:t>Current Market View</w:t>
      </w:r>
    </w:p>
    <w:p w14:paraId="69DA8B77" w14:textId="5A246422" w:rsidR="001C4983" w:rsidRPr="001C4983" w:rsidRDefault="001C4983" w:rsidP="00912096">
      <w:pPr>
        <w:rPr>
          <w:b/>
          <w:bCs/>
        </w:rPr>
      </w:pPr>
      <w:r w:rsidRPr="001C4983">
        <w:rPr>
          <w:b/>
          <w:bCs/>
        </w:rPr>
        <w:t>Investment Markets</w:t>
      </w:r>
    </w:p>
    <w:p w14:paraId="7EA1DC3D" w14:textId="77777777" w:rsidR="007E4696" w:rsidRDefault="00B0357D" w:rsidP="004E0CA0">
      <w:r>
        <w:t>T</w:t>
      </w:r>
      <w:r w:rsidR="00DE107E" w:rsidRPr="00DE107E">
        <w:t xml:space="preserve">he global share markets </w:t>
      </w:r>
      <w:r w:rsidR="00D528C0">
        <w:t>were sold off</w:t>
      </w:r>
      <w:r w:rsidR="001E7BB2">
        <w:t xml:space="preserve"> </w:t>
      </w:r>
      <w:r w:rsidR="00D528C0">
        <w:t>(</w:t>
      </w:r>
      <w:r w:rsidR="00DE107E" w:rsidRPr="00DE107E">
        <w:t>in local currency terms</w:t>
      </w:r>
      <w:r w:rsidR="00D528C0">
        <w:t>)</w:t>
      </w:r>
      <w:r w:rsidR="00DE107E" w:rsidRPr="00DE107E">
        <w:t xml:space="preserve"> </w:t>
      </w:r>
      <w:r w:rsidR="007959FF">
        <w:t xml:space="preserve">over </w:t>
      </w:r>
      <w:r w:rsidR="00D528C0">
        <w:t>April</w:t>
      </w:r>
      <w:r w:rsidR="007959FF">
        <w:t xml:space="preserve"> 202</w:t>
      </w:r>
      <w:r w:rsidR="00AB51EB">
        <w:t>4</w:t>
      </w:r>
      <w:r w:rsidR="007959FF">
        <w:t xml:space="preserve"> </w:t>
      </w:r>
      <w:r w:rsidR="00D528C0">
        <w:t>fuelled</w:t>
      </w:r>
      <w:r w:rsidR="00AB51EB" w:rsidRPr="00AB51EB">
        <w:t xml:space="preserve"> by the </w:t>
      </w:r>
      <w:r w:rsidR="00D528C0">
        <w:t xml:space="preserve">rising </w:t>
      </w:r>
      <w:r w:rsidR="00AB51EB" w:rsidRPr="00AB51EB">
        <w:t xml:space="preserve">interest rates and inflation are heading </w:t>
      </w:r>
      <w:r w:rsidR="00D528C0">
        <w:t>high</w:t>
      </w:r>
      <w:r w:rsidR="00AB51EB" w:rsidRPr="00AB51EB">
        <w:t>er</w:t>
      </w:r>
      <w:r w:rsidR="00D528C0">
        <w:t xml:space="preserve"> against the desired trend</w:t>
      </w:r>
      <w:r w:rsidR="00A10C69">
        <w:t>. I</w:t>
      </w:r>
      <w:r w:rsidR="001451A8">
        <w:t xml:space="preserve">nvestors </w:t>
      </w:r>
      <w:r w:rsidR="006C3C9E">
        <w:t>switched to risk-</w:t>
      </w:r>
      <w:r w:rsidR="00D528C0">
        <w:t>off</w:t>
      </w:r>
      <w:r w:rsidR="006C3C9E">
        <w:t xml:space="preserve"> as </w:t>
      </w:r>
      <w:r w:rsidR="00D528C0">
        <w:t xml:space="preserve">consumer sentiment especially surrounding </w:t>
      </w:r>
      <w:r w:rsidR="00D528C0" w:rsidRPr="007E4696">
        <w:rPr>
          <w:b/>
          <w:bCs/>
        </w:rPr>
        <w:t>cost-of-living pressures</w:t>
      </w:r>
      <w:r w:rsidR="007E4696">
        <w:t>, bubbled to the top of discussion.</w:t>
      </w:r>
    </w:p>
    <w:p w14:paraId="2385CB7B" w14:textId="50D77383" w:rsidR="006C3C9E" w:rsidRDefault="007E4696" w:rsidP="004E0CA0">
      <w:r>
        <w:t xml:space="preserve">For Australia, all eyes are on what measures can be introduced to ease this pressure without fuelling inflation further. </w:t>
      </w:r>
      <w:r w:rsidR="00FA16D9" w:rsidRPr="00402816">
        <w:rPr>
          <w:b/>
          <w:bCs/>
        </w:rPr>
        <w:t>Please see Budget Summary later in this report.</w:t>
      </w:r>
      <w:r w:rsidR="006C3C9E">
        <w:t xml:space="preserve"> </w:t>
      </w:r>
    </w:p>
    <w:p w14:paraId="1E3EA8D8" w14:textId="4172168E" w:rsidR="00BC2301" w:rsidRDefault="00AB51EB" w:rsidP="004E0CA0">
      <w:r>
        <w:t xml:space="preserve">The US market </w:t>
      </w:r>
      <w:r w:rsidR="007E4696">
        <w:t xml:space="preserve">took a breather as interest rates pushed higher which led to profit taking following the recent spate of share market highs. </w:t>
      </w:r>
    </w:p>
    <w:p w14:paraId="6FF8649E" w14:textId="76AFD84B" w:rsidR="000B4202" w:rsidRDefault="007E4696" w:rsidP="004E0CA0">
      <w:r>
        <w:t xml:space="preserve">Investors remain </w:t>
      </w:r>
      <w:r w:rsidR="00AB51EB">
        <w:t>confiden</w:t>
      </w:r>
      <w:r>
        <w:t>t</w:t>
      </w:r>
      <w:r w:rsidR="00AB51EB">
        <w:t xml:space="preserve"> </w:t>
      </w:r>
      <w:r w:rsidR="000B4202">
        <w:t xml:space="preserve">that </w:t>
      </w:r>
      <w:r w:rsidR="000B4202" w:rsidRPr="005D4428">
        <w:t>the</w:t>
      </w:r>
      <w:r w:rsidR="000B4202" w:rsidRPr="000B4202">
        <w:rPr>
          <w:b/>
          <w:bCs/>
        </w:rPr>
        <w:t xml:space="preserve"> Federal Reserve Bank hiking cycle is over</w:t>
      </w:r>
      <w:r w:rsidR="00AB51EB">
        <w:rPr>
          <w:b/>
          <w:bCs/>
        </w:rPr>
        <w:t xml:space="preserve"> </w:t>
      </w:r>
      <w:r w:rsidRPr="007E4696">
        <w:t>however,</w:t>
      </w:r>
      <w:r>
        <w:rPr>
          <w:b/>
          <w:bCs/>
        </w:rPr>
        <w:t xml:space="preserve"> </w:t>
      </w:r>
      <w:r w:rsidR="00AB51EB">
        <w:t xml:space="preserve">interest rate </w:t>
      </w:r>
      <w:r w:rsidR="00AB51EB" w:rsidRPr="007E4696">
        <w:rPr>
          <w:b/>
          <w:bCs/>
        </w:rPr>
        <w:t xml:space="preserve">cuts </w:t>
      </w:r>
      <w:r w:rsidRPr="007E4696">
        <w:rPr>
          <w:b/>
          <w:bCs/>
        </w:rPr>
        <w:t>have been pushed further down the line</w:t>
      </w:r>
      <w:r>
        <w:t xml:space="preserve"> as inflation remains elevated. </w:t>
      </w:r>
      <w:r w:rsidR="007145A7">
        <w:t>It</w:t>
      </w:r>
      <w:r w:rsidR="00D712E9">
        <w:t xml:space="preserve"> will be earnings that drive prices not momentum. From a risk return perspective, markets are improving:</w:t>
      </w:r>
    </w:p>
    <w:p w14:paraId="43E51706" w14:textId="33B68F15" w:rsidR="00375195" w:rsidRDefault="00D528C0" w:rsidP="004E0CA0">
      <w:r w:rsidRPr="00D528C0">
        <w:rPr>
          <w:noProof/>
        </w:rPr>
        <w:drawing>
          <wp:inline distT="0" distB="0" distL="0" distR="0" wp14:anchorId="600BB2CC" wp14:editId="09AC3223">
            <wp:extent cx="5514975" cy="3844474"/>
            <wp:effectExtent l="0" t="0" r="0" b="0"/>
            <wp:docPr id="2111850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9015" cy="3847290"/>
                    </a:xfrm>
                    <a:prstGeom prst="rect">
                      <a:avLst/>
                    </a:prstGeom>
                    <a:noFill/>
                    <a:ln>
                      <a:noFill/>
                    </a:ln>
                  </pic:spPr>
                </pic:pic>
              </a:graphicData>
            </a:graphic>
          </wp:inline>
        </w:drawing>
      </w:r>
    </w:p>
    <w:p w14:paraId="708850CE" w14:textId="199DB04B" w:rsidR="00D712E9" w:rsidRDefault="00D712E9" w:rsidP="00D712E9">
      <w:r w:rsidRPr="00D712E9">
        <w:rPr>
          <w:sz w:val="18"/>
        </w:rPr>
        <w:t xml:space="preserve"> </w:t>
      </w:r>
      <w:r w:rsidRPr="00A70A09">
        <w:rPr>
          <w:sz w:val="18"/>
        </w:rPr>
        <w:t xml:space="preserve">Source data: Lonsec as of </w:t>
      </w:r>
      <w:r w:rsidR="00D528C0">
        <w:rPr>
          <w:sz w:val="18"/>
        </w:rPr>
        <w:t>30</w:t>
      </w:r>
      <w:r w:rsidR="00D528C0" w:rsidRPr="00D528C0">
        <w:rPr>
          <w:sz w:val="18"/>
          <w:vertAlign w:val="superscript"/>
        </w:rPr>
        <w:t>th</w:t>
      </w:r>
      <w:r w:rsidR="00D528C0">
        <w:rPr>
          <w:sz w:val="18"/>
        </w:rPr>
        <w:t xml:space="preserve"> April </w:t>
      </w:r>
      <w:r>
        <w:rPr>
          <w:sz w:val="18"/>
        </w:rPr>
        <w:t>2024</w:t>
      </w:r>
    </w:p>
    <w:p w14:paraId="484D77E5" w14:textId="0FF07B46" w:rsidR="00115DDA" w:rsidRDefault="00115DDA" w:rsidP="00115DDA">
      <w:r>
        <w:lastRenderedPageBreak/>
        <w:t>From the chart above, you can gain an understanding of why investors over the past year h</w:t>
      </w:r>
      <w:r w:rsidR="00347702">
        <w:t>ave tilted</w:t>
      </w:r>
      <w:r>
        <w:t xml:space="preserve"> </w:t>
      </w:r>
      <w:r w:rsidR="00290B47">
        <w:t xml:space="preserve">their exposures </w:t>
      </w:r>
      <w:r>
        <w:t xml:space="preserve">towards shares over bonds given the higher risk </w:t>
      </w:r>
      <w:r w:rsidR="00290B47">
        <w:t xml:space="preserve">score </w:t>
      </w:r>
      <w:r>
        <w:t>resulting in higher returns in most cases.</w:t>
      </w:r>
    </w:p>
    <w:p w14:paraId="3F114484" w14:textId="04EEF9C0" w:rsidR="003C4073" w:rsidRPr="005C178D" w:rsidRDefault="003C4073" w:rsidP="003C4073">
      <w:pPr>
        <w:spacing w:before="0" w:after="160" w:line="259" w:lineRule="auto"/>
        <w:ind w:left="360"/>
        <w:rPr>
          <w:rFonts w:cs="Calibri"/>
          <w:i/>
          <w:iCs/>
          <w:color w:val="222222"/>
          <w:shd w:val="clear" w:color="auto" w:fill="FFFFFF"/>
        </w:rPr>
      </w:pPr>
      <w:r w:rsidRPr="005C178D">
        <w:rPr>
          <w:rFonts w:cs="Calibri"/>
          <w:i/>
          <w:iCs/>
          <w:color w:val="222222"/>
          <w:shd w:val="clear" w:color="auto" w:fill="FFFFFF"/>
        </w:rPr>
        <w:t xml:space="preserve">The risk measure is simply the one-year annualised standard deviation of the monthly total return time series for each category. The total return is the share or bond price movement monthly including any </w:t>
      </w:r>
      <w:r w:rsidR="001D4157" w:rsidRPr="005C178D">
        <w:rPr>
          <w:rFonts w:cs="Calibri"/>
          <w:i/>
          <w:iCs/>
          <w:color w:val="222222"/>
          <w:shd w:val="clear" w:color="auto" w:fill="FFFFFF"/>
        </w:rPr>
        <w:t xml:space="preserve">cash </w:t>
      </w:r>
      <w:r w:rsidRPr="005C178D">
        <w:rPr>
          <w:rFonts w:cs="Calibri"/>
          <w:i/>
          <w:iCs/>
          <w:color w:val="222222"/>
          <w:shd w:val="clear" w:color="auto" w:fill="FFFFFF"/>
        </w:rPr>
        <w:t>dividends and coupons payable.</w:t>
      </w:r>
    </w:p>
    <w:p w14:paraId="47DA185A" w14:textId="1E29F7BC" w:rsidR="003C23F8" w:rsidRDefault="005D39F6" w:rsidP="00B24141">
      <w:r>
        <w:rPr>
          <w:b/>
          <w:bCs/>
        </w:rPr>
        <w:t xml:space="preserve">The US Federal Reserve Bank </w:t>
      </w:r>
      <w:r w:rsidR="00375195">
        <w:rPr>
          <w:b/>
          <w:bCs/>
        </w:rPr>
        <w:t>maintained</w:t>
      </w:r>
      <w:r>
        <w:rPr>
          <w:b/>
          <w:bCs/>
        </w:rPr>
        <w:t xml:space="preserve"> the target range for the federal funds rate at 5.25%-5.0% at the FOMC meeting held on the </w:t>
      </w:r>
      <w:r w:rsidR="00F7687B">
        <w:rPr>
          <w:b/>
          <w:bCs/>
        </w:rPr>
        <w:t>1</w:t>
      </w:r>
      <w:r w:rsidR="00F7687B" w:rsidRPr="00F7687B">
        <w:rPr>
          <w:b/>
          <w:bCs/>
          <w:vertAlign w:val="superscript"/>
        </w:rPr>
        <w:t>st</w:t>
      </w:r>
      <w:r w:rsidR="00F7687B">
        <w:rPr>
          <w:b/>
          <w:bCs/>
        </w:rPr>
        <w:t xml:space="preserve"> </w:t>
      </w:r>
      <w:r w:rsidR="00375195" w:rsidRPr="00375195">
        <w:rPr>
          <w:b/>
          <w:bCs/>
          <w:vertAlign w:val="superscript"/>
        </w:rPr>
        <w:t>of</w:t>
      </w:r>
      <w:r w:rsidR="00375195">
        <w:rPr>
          <w:b/>
          <w:bCs/>
        </w:rPr>
        <w:t xml:space="preserve"> Ma</w:t>
      </w:r>
      <w:r w:rsidR="00F7687B">
        <w:rPr>
          <w:b/>
          <w:bCs/>
        </w:rPr>
        <w:t>y</w:t>
      </w:r>
      <w:r>
        <w:rPr>
          <w:b/>
          <w:bCs/>
        </w:rPr>
        <w:t xml:space="preserve"> 2024</w:t>
      </w:r>
      <w:r w:rsidR="00375195">
        <w:rPr>
          <w:b/>
          <w:bCs/>
        </w:rPr>
        <w:t xml:space="preserve">. </w:t>
      </w:r>
      <w:r w:rsidR="00B24141" w:rsidRPr="00B24141">
        <w:t>The Committee will carefully assess incoming data, the evolving outlook, and the balance of risks. The Committee does not expect it will be appropriate to reduce the target range until it has gained greater confidence that inflation is moving sustainably toward 2 percent.</w:t>
      </w:r>
      <w:r w:rsidR="00B24141">
        <w:rPr>
          <w:b/>
          <w:bCs/>
        </w:rPr>
        <w:t xml:space="preserve"> </w:t>
      </w:r>
    </w:p>
    <w:p w14:paraId="598474B1" w14:textId="257C7425" w:rsidR="005D39F6" w:rsidRDefault="00B24141" w:rsidP="00B24141">
      <w:r>
        <w:t>The latest i</w:t>
      </w:r>
      <w:r w:rsidR="005D39F6">
        <w:t xml:space="preserve">nflation data </w:t>
      </w:r>
      <w:r>
        <w:t xml:space="preserve">cast </w:t>
      </w:r>
      <w:r w:rsidRPr="003C23F8">
        <w:rPr>
          <w:b/>
          <w:bCs/>
        </w:rPr>
        <w:t>doubt about the expectations for interest rates to ease</w:t>
      </w:r>
      <w:r>
        <w:t xml:space="preserve"> in June/July this year with the latest print revealing </w:t>
      </w:r>
      <w:r w:rsidR="003C23F8">
        <w:t xml:space="preserve">annual inflation rate in the US accelerated for a second straight month to </w:t>
      </w:r>
      <w:r w:rsidR="003C23F8" w:rsidRPr="003C23F8">
        <w:rPr>
          <w:b/>
          <w:bCs/>
        </w:rPr>
        <w:t>3.5% in March 2024</w:t>
      </w:r>
      <w:r w:rsidR="003C23F8">
        <w:t xml:space="preserve"> from 3.2% in February 2024</w:t>
      </w:r>
      <w:r w:rsidR="005D39F6">
        <w:t xml:space="preserve">. </w:t>
      </w:r>
      <w:r w:rsidR="003C23F8">
        <w:t xml:space="preserve">The index for shelter (housing) and gasoline contributed to over 50% of the monthly increase. </w:t>
      </w:r>
      <w:r w:rsidR="005D39F6">
        <w:t>Investors remain focussed on the second half of 2024 and the potential for monetary policy easing once the real impact of all the interest rate hikes is felt by consumers in Q</w:t>
      </w:r>
      <w:r w:rsidR="00F7687B">
        <w:t>2</w:t>
      </w:r>
      <w:r w:rsidR="005D39F6">
        <w:t xml:space="preserve"> and Q</w:t>
      </w:r>
      <w:r w:rsidR="00F7687B">
        <w:t>3</w:t>
      </w:r>
      <w:r w:rsidR="005D39F6">
        <w:t xml:space="preserve"> of 2024.</w:t>
      </w:r>
    </w:p>
    <w:p w14:paraId="096814E6" w14:textId="1C0BC832" w:rsidR="003757D8" w:rsidRPr="005C178D" w:rsidRDefault="001B08D3" w:rsidP="003757D8">
      <w:pPr>
        <w:spacing w:before="120"/>
      </w:pPr>
      <w:r>
        <w:t>T</w:t>
      </w:r>
      <w:r w:rsidR="005D39F6">
        <w:t>he</w:t>
      </w:r>
      <w:r w:rsidR="005D39F6" w:rsidRPr="005D39F6">
        <w:t xml:space="preserve"> S&amp;PASX200 volatility (VIX) pushed </w:t>
      </w:r>
      <w:r w:rsidR="00811AB7">
        <w:t>high</w:t>
      </w:r>
      <w:r w:rsidR="005D39F6" w:rsidRPr="005D39F6">
        <w:t xml:space="preserve">er closing at </w:t>
      </w:r>
      <w:r w:rsidR="00811AB7">
        <w:t>11.83</w:t>
      </w:r>
      <w:r w:rsidR="005D39F6" w:rsidRPr="005D39F6">
        <w:t xml:space="preserve"> as of </w:t>
      </w:r>
      <w:r w:rsidR="00811AB7">
        <w:t>30</w:t>
      </w:r>
      <w:r w:rsidR="002032E2" w:rsidRPr="002032E2">
        <w:rPr>
          <w:vertAlign w:val="superscript"/>
        </w:rPr>
        <w:t>th</w:t>
      </w:r>
      <w:r w:rsidR="002032E2">
        <w:t xml:space="preserve"> </w:t>
      </w:r>
      <w:r w:rsidR="00811AB7">
        <w:t>April</w:t>
      </w:r>
      <w:r w:rsidR="005D39F6" w:rsidRPr="005D39F6">
        <w:t xml:space="preserve"> 2024 after finishing </w:t>
      </w:r>
      <w:r w:rsidR="00811AB7">
        <w:t>March</w:t>
      </w:r>
      <w:r w:rsidR="005D39F6" w:rsidRPr="005D39F6">
        <w:t xml:space="preserve"> 2024 at </w:t>
      </w:r>
      <w:r w:rsidR="00811AB7">
        <w:t>9.79</w:t>
      </w:r>
      <w:r w:rsidR="005D39F6" w:rsidRPr="005D39F6">
        <w:t>. It is currently trading at 1</w:t>
      </w:r>
      <w:r w:rsidR="002032E2">
        <w:t>0.8</w:t>
      </w:r>
      <w:r w:rsidR="00811AB7">
        <w:t>4</w:t>
      </w:r>
      <w:r w:rsidR="005D39F6" w:rsidRPr="005D39F6">
        <w:t xml:space="preserve"> as at close of business 1</w:t>
      </w:r>
      <w:r w:rsidR="00811AB7">
        <w:t>3</w:t>
      </w:r>
      <w:r w:rsidR="005D39F6" w:rsidRPr="005D39F6">
        <w:t xml:space="preserve">th </w:t>
      </w:r>
      <w:r w:rsidR="00811AB7">
        <w:t>May</w:t>
      </w:r>
      <w:r w:rsidR="005D39F6" w:rsidRPr="005D39F6">
        <w:t xml:space="preserve"> 2024 (Source: S&amp;P/ASX200 VIX).</w:t>
      </w:r>
      <w:r w:rsidR="00966124" w:rsidRPr="005C178D">
        <w:t xml:space="preserve"> </w:t>
      </w:r>
      <w:r w:rsidRPr="005C178D">
        <w:t xml:space="preserve">Looks like the market is </w:t>
      </w:r>
      <w:r w:rsidR="00A97612" w:rsidRPr="005C178D">
        <w:t xml:space="preserve">expecting </w:t>
      </w:r>
      <w:r w:rsidR="005D39F6">
        <w:t>no surprises</w:t>
      </w:r>
      <w:r w:rsidR="006A4952" w:rsidRPr="005C178D">
        <w:t xml:space="preserve"> in </w:t>
      </w:r>
      <w:r w:rsidR="005D39F6">
        <w:t xml:space="preserve">terms of </w:t>
      </w:r>
      <w:r w:rsidR="006A4952" w:rsidRPr="005C178D">
        <w:t>volatility</w:t>
      </w:r>
      <w:r w:rsidR="005D39F6">
        <w:t>,</w:t>
      </w:r>
      <w:r w:rsidR="00A97612" w:rsidRPr="005C178D">
        <w:t xml:space="preserve"> in the month ahead.</w:t>
      </w:r>
    </w:p>
    <w:p w14:paraId="74599E14" w14:textId="285EB18A" w:rsidR="002D5D13" w:rsidRDefault="002D5D13" w:rsidP="002D5D13">
      <w:r>
        <w:t>The e</w:t>
      </w:r>
      <w:r w:rsidR="009E742F">
        <w:t>xpectations for fu</w:t>
      </w:r>
      <w:r>
        <w:t>ture</w:t>
      </w:r>
      <w:r w:rsidR="009E742F">
        <w:t xml:space="preserve"> </w:t>
      </w:r>
      <w:r>
        <w:t xml:space="preserve">easing of </w:t>
      </w:r>
      <w:r w:rsidR="009E742F">
        <w:t xml:space="preserve">interest rate </w:t>
      </w:r>
      <w:r w:rsidR="00780ED6">
        <w:t xml:space="preserve">easing were on track </w:t>
      </w:r>
      <w:r>
        <w:t xml:space="preserve">until the latest </w:t>
      </w:r>
      <w:r w:rsidR="00780ED6">
        <w:t xml:space="preserve">spike in </w:t>
      </w:r>
      <w:r>
        <w:t>inflation numbers. N</w:t>
      </w:r>
      <w:r w:rsidR="001A2453">
        <w:t xml:space="preserve">ow </w:t>
      </w:r>
      <w:r>
        <w:t xml:space="preserve">it </w:t>
      </w:r>
      <w:r w:rsidR="00A97612">
        <w:t>appears</w:t>
      </w:r>
      <w:r>
        <w:t xml:space="preserve"> that</w:t>
      </w:r>
      <w:r w:rsidR="00A97612">
        <w:t xml:space="preserve"> </w:t>
      </w:r>
      <w:r w:rsidR="00A97612" w:rsidRPr="00780ED6">
        <w:rPr>
          <w:b/>
          <w:bCs/>
        </w:rPr>
        <w:t>Central Banks</w:t>
      </w:r>
      <w:r w:rsidRPr="00780ED6">
        <w:rPr>
          <w:b/>
          <w:bCs/>
        </w:rPr>
        <w:t xml:space="preserve"> will extend any easing plans</w:t>
      </w:r>
      <w:r>
        <w:t xml:space="preserve"> until a clearer picture emerges on the inflation front. In addition, the Committee will </w:t>
      </w:r>
      <w:r w:rsidR="00811AB7" w:rsidRPr="00811AB7">
        <w:rPr>
          <w:b/>
          <w:bCs/>
        </w:rPr>
        <w:t>slow the pace of</w:t>
      </w:r>
      <w:r w:rsidR="00811AB7">
        <w:t xml:space="preserve"> </w:t>
      </w:r>
      <w:r w:rsidRPr="002D5D13">
        <w:rPr>
          <w:b/>
          <w:bCs/>
        </w:rPr>
        <w:t>reducing its holdings</w:t>
      </w:r>
      <w:r>
        <w:t xml:space="preserve"> of Treasury securities and agency debt and agency mortgage-backed securities, as described in its previously announced plans.</w:t>
      </w:r>
      <w:r w:rsidR="00212DCC">
        <w:t xml:space="preserve"> This drains liquidity from the system.</w:t>
      </w:r>
    </w:p>
    <w:p w14:paraId="6664BFA6" w14:textId="584D4734" w:rsidR="008B2268" w:rsidRDefault="008B2268" w:rsidP="004E0CA0">
      <w:r>
        <w:t xml:space="preserve">The </w:t>
      </w:r>
      <w:r w:rsidR="009756E0">
        <w:t>issues at the forefront of investors thoughts included</w:t>
      </w:r>
      <w:r>
        <w:t>:</w:t>
      </w:r>
    </w:p>
    <w:p w14:paraId="568D4ABF" w14:textId="3D942352" w:rsidR="008C3AF3" w:rsidRDefault="008C3AF3" w:rsidP="005006DD">
      <w:pPr>
        <w:pStyle w:val="ListParagraph"/>
        <w:numPr>
          <w:ilvl w:val="0"/>
          <w:numId w:val="8"/>
        </w:numPr>
      </w:pPr>
      <w:r>
        <w:t xml:space="preserve">Political conflict – the </w:t>
      </w:r>
      <w:r w:rsidR="00A97612">
        <w:t xml:space="preserve">ongoing </w:t>
      </w:r>
      <w:r>
        <w:t xml:space="preserve">war in the middle east for Israel and </w:t>
      </w:r>
      <w:r w:rsidR="00802E86">
        <w:t>Humas</w:t>
      </w:r>
      <w:r w:rsidR="00A97612">
        <w:t>,</w:t>
      </w:r>
      <w:r>
        <w:t xml:space="preserve"> along with </w:t>
      </w:r>
      <w:r w:rsidR="00347702">
        <w:t>Ukraine</w:t>
      </w:r>
      <w:r>
        <w:t xml:space="preserve"> and Russia</w:t>
      </w:r>
      <w:r w:rsidR="00A97612">
        <w:t>,</w:t>
      </w:r>
      <w:r>
        <w:t xml:space="preserve"> </w:t>
      </w:r>
      <w:r w:rsidR="00D357C4">
        <w:t xml:space="preserve">remains a concern for </w:t>
      </w:r>
      <w:r>
        <w:t xml:space="preserve">investors. While not panicking, the underlying impact of these events put doubt into expectations for any </w:t>
      </w:r>
      <w:r w:rsidR="005D39F6">
        <w:t xml:space="preserve">speedy </w:t>
      </w:r>
      <w:r>
        <w:t>economic recovery</w:t>
      </w:r>
      <w:r w:rsidR="00D357C4">
        <w:t xml:space="preserve"> in Europe</w:t>
      </w:r>
      <w:r>
        <w:t>.</w:t>
      </w:r>
    </w:p>
    <w:p w14:paraId="3B593908" w14:textId="7129F3CE" w:rsidR="002A71FA" w:rsidRDefault="00601243" w:rsidP="005006DD">
      <w:pPr>
        <w:pStyle w:val="ListParagraph"/>
        <w:numPr>
          <w:ilvl w:val="0"/>
          <w:numId w:val="8"/>
        </w:numPr>
      </w:pPr>
      <w:r>
        <w:t xml:space="preserve">Global growth – </w:t>
      </w:r>
      <w:r w:rsidR="001415A2">
        <w:t>for our region</w:t>
      </w:r>
      <w:r w:rsidR="00D357C4">
        <w:t>,</w:t>
      </w:r>
      <w:r w:rsidR="001415A2">
        <w:t xml:space="preserve"> </w:t>
      </w:r>
      <w:r>
        <w:t xml:space="preserve">China is the focus with property developers </w:t>
      </w:r>
      <w:r w:rsidR="00D357C4">
        <w:t>still causing problems.</w:t>
      </w:r>
      <w:r>
        <w:t xml:space="preserve"> The ramifications </w:t>
      </w:r>
      <w:r w:rsidR="00A97612">
        <w:t xml:space="preserve">are that if </w:t>
      </w:r>
      <w:r>
        <w:t xml:space="preserve">China </w:t>
      </w:r>
      <w:r w:rsidR="00764C50">
        <w:t xml:space="preserve">starts to emerge from these </w:t>
      </w:r>
      <w:r w:rsidR="006078FE">
        <w:t>challenges,</w:t>
      </w:r>
      <w:r w:rsidR="00764C50">
        <w:t xml:space="preserve"> then, </w:t>
      </w:r>
      <w:r>
        <w:t xml:space="preserve">Australia will </w:t>
      </w:r>
      <w:r w:rsidR="001B08D3">
        <w:t>be</w:t>
      </w:r>
      <w:r w:rsidR="00764C50">
        <w:t>nefit</w:t>
      </w:r>
      <w:r>
        <w:t xml:space="preserve"> given, they are our biggest trading partner.</w:t>
      </w:r>
    </w:p>
    <w:p w14:paraId="0D3E5B51" w14:textId="76F984D4" w:rsidR="00BC11B5" w:rsidRDefault="00BC11B5" w:rsidP="005006DD">
      <w:pPr>
        <w:pStyle w:val="ListParagraph"/>
        <w:numPr>
          <w:ilvl w:val="0"/>
          <w:numId w:val="8"/>
        </w:numPr>
      </w:pPr>
      <w:r>
        <w:lastRenderedPageBreak/>
        <w:t xml:space="preserve">Inflation </w:t>
      </w:r>
      <w:r w:rsidR="000B4170">
        <w:t xml:space="preserve">now </w:t>
      </w:r>
      <w:r>
        <w:t xml:space="preserve">showing signs of </w:t>
      </w:r>
      <w:r w:rsidR="00B115AE">
        <w:t>a pull back,</w:t>
      </w:r>
      <w:r w:rsidR="00397D87">
        <w:t xml:space="preserve"> stubbornly </w:t>
      </w:r>
      <w:r w:rsidR="00601243">
        <w:t xml:space="preserve">above the target ranges of Central </w:t>
      </w:r>
      <w:r w:rsidR="005006DD">
        <w:t>banks.</w:t>
      </w:r>
      <w:r w:rsidR="00601243">
        <w:t xml:space="preserve"> </w:t>
      </w:r>
      <w:r w:rsidR="00601243" w:rsidRPr="00601243">
        <w:t xml:space="preserve">The impact of monetary policy changes typically </w:t>
      </w:r>
      <w:r w:rsidR="001415A2" w:rsidRPr="00601243">
        <w:t>takes</w:t>
      </w:r>
      <w:r w:rsidR="00601243" w:rsidRPr="00601243">
        <w:t xml:space="preserve"> 12 </w:t>
      </w:r>
      <w:r w:rsidR="001415A2">
        <w:t>to</w:t>
      </w:r>
      <w:r w:rsidR="00601243" w:rsidRPr="00601243">
        <w:t xml:space="preserve"> 18 months to be felt and so </w:t>
      </w:r>
      <w:r w:rsidR="00601243">
        <w:t xml:space="preserve">markets are watching the economic data </w:t>
      </w:r>
      <w:r w:rsidR="001415A2">
        <w:t xml:space="preserve">closely </w:t>
      </w:r>
      <w:r w:rsidR="00601243">
        <w:t>for signals t</w:t>
      </w:r>
      <w:r w:rsidR="00601243" w:rsidRPr="00601243">
        <w:t>h</w:t>
      </w:r>
      <w:r w:rsidR="00601243">
        <w:t>at</w:t>
      </w:r>
      <w:r w:rsidR="00601243" w:rsidRPr="00601243">
        <w:t xml:space="preserve"> will challenge growth</w:t>
      </w:r>
      <w:r w:rsidR="00036FDA">
        <w:t xml:space="preserve"> expectations</w:t>
      </w:r>
      <w:r w:rsidR="00601243" w:rsidRPr="00601243">
        <w:t>.</w:t>
      </w:r>
    </w:p>
    <w:p w14:paraId="74BD26C3" w14:textId="320F4524" w:rsidR="00BC11B5" w:rsidRDefault="00BC11B5" w:rsidP="005006DD">
      <w:pPr>
        <w:pStyle w:val="ListParagraph"/>
        <w:numPr>
          <w:ilvl w:val="0"/>
          <w:numId w:val="8"/>
        </w:numPr>
      </w:pPr>
      <w:r>
        <w:t xml:space="preserve">Bond markets </w:t>
      </w:r>
      <w:r w:rsidR="00FB0752">
        <w:t xml:space="preserve">and </w:t>
      </w:r>
      <w:r w:rsidR="00B44AF0">
        <w:t>their response to the latest inflation print</w:t>
      </w:r>
      <w:r w:rsidR="00634FDD">
        <w:t xml:space="preserve"> </w:t>
      </w:r>
      <w:r w:rsidR="001415A2">
        <w:t>and Central bank</w:t>
      </w:r>
      <w:r w:rsidR="000E45E4">
        <w:t>s</w:t>
      </w:r>
      <w:r w:rsidR="001415A2">
        <w:t xml:space="preserve"> </w:t>
      </w:r>
      <w:r w:rsidR="000E45E4">
        <w:t xml:space="preserve">keeping the cash rates on hold, </w:t>
      </w:r>
      <w:r w:rsidR="00B115AE">
        <w:t xml:space="preserve">has </w:t>
      </w:r>
      <w:r w:rsidR="00A97612">
        <w:t>the debt markets</w:t>
      </w:r>
      <w:r w:rsidR="00B115AE">
        <w:t xml:space="preserve"> hesitant and a recent selloff has markets nervous about the timing of future interest rate easing</w:t>
      </w:r>
      <w:r w:rsidR="00A97612">
        <w:t>.</w:t>
      </w:r>
    </w:p>
    <w:p w14:paraId="07A4B833" w14:textId="1789B226" w:rsidR="008B2268" w:rsidRDefault="002C6C3E" w:rsidP="005006DD">
      <w:pPr>
        <w:pStyle w:val="ListParagraph"/>
        <w:numPr>
          <w:ilvl w:val="0"/>
          <w:numId w:val="8"/>
        </w:numPr>
      </w:pPr>
      <w:r>
        <w:t>M</w:t>
      </w:r>
      <w:r w:rsidR="00894F9E">
        <w:t>arket</w:t>
      </w:r>
      <w:r w:rsidR="001415A2">
        <w:t xml:space="preserve"> valuations are challenging</w:t>
      </w:r>
      <w:r w:rsidR="00B648FE">
        <w:t xml:space="preserve"> </w:t>
      </w:r>
      <w:r w:rsidR="001415A2">
        <w:t xml:space="preserve">along with </w:t>
      </w:r>
      <w:r w:rsidR="00B648FE">
        <w:t xml:space="preserve">economic indicators </w:t>
      </w:r>
      <w:r w:rsidR="00634FDD">
        <w:t xml:space="preserve">flagging </w:t>
      </w:r>
      <w:r w:rsidR="00B648FE">
        <w:t xml:space="preserve">downside </w:t>
      </w:r>
      <w:r w:rsidR="002D4F09">
        <w:t>risks;</w:t>
      </w:r>
      <w:r w:rsidR="00D90A2B">
        <w:t xml:space="preserve"> however, </w:t>
      </w:r>
      <w:r w:rsidR="002D4F09" w:rsidRPr="002D4F09">
        <w:rPr>
          <w:b/>
          <w:bCs/>
        </w:rPr>
        <w:t xml:space="preserve">investors are encouraged </w:t>
      </w:r>
      <w:r>
        <w:rPr>
          <w:b/>
          <w:bCs/>
        </w:rPr>
        <w:t xml:space="preserve">to </w:t>
      </w:r>
      <w:r w:rsidR="00811AB7">
        <w:rPr>
          <w:b/>
          <w:bCs/>
        </w:rPr>
        <w:t>hold</w:t>
      </w:r>
      <w:r w:rsidR="000218F1">
        <w:t>, navigate this period of uncertainty,</w:t>
      </w:r>
      <w:r w:rsidR="00B13339">
        <w:t xml:space="preserve"> and expect better conditions to prevail in the </w:t>
      </w:r>
      <w:r w:rsidR="00811AB7">
        <w:t>3rd</w:t>
      </w:r>
      <w:r w:rsidR="005D4428">
        <w:t xml:space="preserve"> and </w:t>
      </w:r>
      <w:r w:rsidR="00811AB7">
        <w:t>4th</w:t>
      </w:r>
      <w:r w:rsidR="005D4428">
        <w:t xml:space="preserve"> quarter of 2024.</w:t>
      </w:r>
      <w:r w:rsidR="00A00F13">
        <w:t xml:space="preserve"> </w:t>
      </w:r>
    </w:p>
    <w:p w14:paraId="56D9FA2F" w14:textId="0BB3E1FA" w:rsidR="009300A6" w:rsidRDefault="00BC11B5" w:rsidP="004E0CA0">
      <w:r>
        <w:t>Locally the d</w:t>
      </w:r>
      <w:r w:rsidR="009300A6">
        <w:t xml:space="preserve">omestic house prices </w:t>
      </w:r>
      <w:r w:rsidR="00B648FE">
        <w:t xml:space="preserve">continued to </w:t>
      </w:r>
      <w:r w:rsidR="00384EB8">
        <w:t xml:space="preserve">drift higher </w:t>
      </w:r>
      <w:r w:rsidR="00114A2E">
        <w:t xml:space="preserve">despite the </w:t>
      </w:r>
      <w:r w:rsidR="009300A6">
        <w:t>brunt of the interest rate rises</w:t>
      </w:r>
      <w:r w:rsidR="00A00F13">
        <w:t xml:space="preserve"> </w:t>
      </w:r>
      <w:r w:rsidR="00384EB8">
        <w:t xml:space="preserve">as </w:t>
      </w:r>
      <w:r w:rsidR="00811AB7">
        <w:t xml:space="preserve">demand outstripped supply across </w:t>
      </w:r>
      <w:r w:rsidR="00A00F13">
        <w:t xml:space="preserve">stressed market sectors. </w:t>
      </w:r>
      <w:r w:rsidR="007F0FC4">
        <w:t>This</w:t>
      </w:r>
      <w:r>
        <w:t xml:space="preserve"> year will be challenging however, </w:t>
      </w:r>
      <w:r w:rsidRPr="00EF169D">
        <w:rPr>
          <w:b/>
          <w:bCs/>
        </w:rPr>
        <w:t xml:space="preserve">the broader economy </w:t>
      </w:r>
      <w:r w:rsidR="004E0473" w:rsidRPr="00EF169D">
        <w:rPr>
          <w:b/>
          <w:bCs/>
        </w:rPr>
        <w:t>is</w:t>
      </w:r>
      <w:r w:rsidRPr="00EF169D">
        <w:rPr>
          <w:b/>
          <w:bCs/>
        </w:rPr>
        <w:t xml:space="preserve"> weathering the storm well </w:t>
      </w:r>
      <w:r>
        <w:t xml:space="preserve">given the </w:t>
      </w:r>
      <w:r w:rsidR="00894F9E">
        <w:t xml:space="preserve">mixed </w:t>
      </w:r>
      <w:r>
        <w:t xml:space="preserve">support from </w:t>
      </w:r>
      <w:r w:rsidR="00DB1D18">
        <w:t xml:space="preserve">high immigration levels, </w:t>
      </w:r>
      <w:r>
        <w:t>commodity markets</w:t>
      </w:r>
      <w:r w:rsidR="00077B36">
        <w:t xml:space="preserve"> and the strong level of employment</w:t>
      </w:r>
      <w:r w:rsidR="00B648FE">
        <w:t xml:space="preserve"> </w:t>
      </w:r>
      <w:r w:rsidR="00384EB8">
        <w:t xml:space="preserve">with </w:t>
      </w:r>
      <w:r w:rsidR="00B648FE">
        <w:t>unemployment</w:t>
      </w:r>
      <w:r w:rsidR="00384EB8">
        <w:t xml:space="preserve"> sitting at </w:t>
      </w:r>
      <w:r w:rsidR="00811AB7">
        <w:t xml:space="preserve">3.8 in March 2024 up from </w:t>
      </w:r>
      <w:r w:rsidR="00114A2E">
        <w:t>3.7</w:t>
      </w:r>
      <w:r w:rsidR="00384EB8">
        <w:t>%</w:t>
      </w:r>
      <w:r w:rsidR="00B04E1B">
        <w:t xml:space="preserve"> in </w:t>
      </w:r>
      <w:r w:rsidR="00114A2E">
        <w:t>February</w:t>
      </w:r>
      <w:r w:rsidR="00B04E1B">
        <w:t xml:space="preserve"> 202</w:t>
      </w:r>
      <w:r w:rsidR="005D4428">
        <w:t>4</w:t>
      </w:r>
      <w:r w:rsidR="002A13EC">
        <w:t>.</w:t>
      </w:r>
    </w:p>
    <w:p w14:paraId="6362B567" w14:textId="0C7189B9" w:rsidR="007E753C" w:rsidRDefault="00BB0237" w:rsidP="00BD4294">
      <w:r>
        <w:t>The latest</w:t>
      </w:r>
      <w:r w:rsidR="00533128">
        <w:t xml:space="preserve"> inflation print </w:t>
      </w:r>
      <w:r w:rsidR="002A13EC">
        <w:t xml:space="preserve">for the </w:t>
      </w:r>
      <w:r w:rsidR="000E45E4">
        <w:t>f</w:t>
      </w:r>
      <w:r w:rsidR="00811AB7">
        <w:t>irst</w:t>
      </w:r>
      <w:r w:rsidR="00E3272D">
        <w:t xml:space="preserve"> quarter </w:t>
      </w:r>
      <w:r w:rsidR="00B648FE">
        <w:t>of 202</w:t>
      </w:r>
      <w:r w:rsidR="00811AB7">
        <w:t>4</w:t>
      </w:r>
      <w:r w:rsidR="00B648FE">
        <w:t xml:space="preserve"> </w:t>
      </w:r>
      <w:r w:rsidR="00533128">
        <w:t xml:space="preserve">in </w:t>
      </w:r>
      <w:r w:rsidR="00742B86">
        <w:t xml:space="preserve">Australia was </w:t>
      </w:r>
      <w:r w:rsidR="00811AB7">
        <w:t>3.6</w:t>
      </w:r>
      <w:r w:rsidR="00B26539">
        <w:t xml:space="preserve">% </w:t>
      </w:r>
      <w:r w:rsidR="002A13EC">
        <w:t xml:space="preserve">which was </w:t>
      </w:r>
      <w:r w:rsidR="00B648FE">
        <w:t>down</w:t>
      </w:r>
      <w:r w:rsidR="002A13EC">
        <w:t xml:space="preserve"> from the </w:t>
      </w:r>
      <w:r w:rsidR="000E45E4">
        <w:t>4</w:t>
      </w:r>
      <w:r w:rsidR="00811AB7">
        <w:t>.1</w:t>
      </w:r>
      <w:r w:rsidR="002A13EC">
        <w:t xml:space="preserve">% in the </w:t>
      </w:r>
      <w:r w:rsidR="00811AB7">
        <w:t>fourth</w:t>
      </w:r>
      <w:r w:rsidR="002A13EC">
        <w:t xml:space="preserve"> quarter of 202</w:t>
      </w:r>
      <w:r w:rsidR="00B21D78">
        <w:t>3</w:t>
      </w:r>
      <w:r w:rsidR="00B648FE">
        <w:t xml:space="preserve"> but still elevated</w:t>
      </w:r>
      <w:r w:rsidR="002A13EC">
        <w:t xml:space="preserve">. </w:t>
      </w:r>
      <w:r w:rsidR="001A2453">
        <w:t>Despite the elevated level of inflation, t</w:t>
      </w:r>
      <w:r w:rsidR="00C103CF">
        <w:t xml:space="preserve">he </w:t>
      </w:r>
      <w:r w:rsidR="005006DD">
        <w:t>RBA voted</w:t>
      </w:r>
      <w:r w:rsidR="001A2453">
        <w:t xml:space="preserve"> to </w:t>
      </w:r>
      <w:r w:rsidR="001A2453" w:rsidRPr="00EF169D">
        <w:rPr>
          <w:b/>
          <w:bCs/>
        </w:rPr>
        <w:t>hold the target cash rate at 4.35%</w:t>
      </w:r>
      <w:r w:rsidR="001A2453">
        <w:t xml:space="preserve"> </w:t>
      </w:r>
      <w:r w:rsidR="00C103CF">
        <w:t>at this month’s board meeting</w:t>
      </w:r>
      <w:r w:rsidR="005E2FB8">
        <w:t xml:space="preserve"> </w:t>
      </w:r>
      <w:r w:rsidR="00634FDD">
        <w:t xml:space="preserve">on the </w:t>
      </w:r>
      <w:r w:rsidR="00396B3C">
        <w:t>7</w:t>
      </w:r>
      <w:r w:rsidR="00EF6467" w:rsidRPr="00EF169D">
        <w:rPr>
          <w:vertAlign w:val="superscript"/>
        </w:rPr>
        <w:t>th of</w:t>
      </w:r>
      <w:r w:rsidR="00EF169D">
        <w:t xml:space="preserve"> </w:t>
      </w:r>
      <w:r w:rsidR="00B2416D">
        <w:t>M</w:t>
      </w:r>
      <w:r w:rsidR="00396B3C">
        <w:t>ay</w:t>
      </w:r>
      <w:r w:rsidR="00E3272D">
        <w:t xml:space="preserve"> </w:t>
      </w:r>
      <w:r w:rsidR="00634FDD">
        <w:t>202</w:t>
      </w:r>
      <w:r w:rsidR="000E45E4">
        <w:t>4</w:t>
      </w:r>
      <w:r w:rsidR="00EF169D">
        <w:t>.</w:t>
      </w:r>
      <w:r w:rsidR="002A13EC">
        <w:t xml:space="preserve"> </w:t>
      </w:r>
    </w:p>
    <w:p w14:paraId="0FBDDE4B" w14:textId="140ABEE5" w:rsidR="0046215F" w:rsidRDefault="00784798" w:rsidP="004E0CA0">
      <w:r>
        <w:t>Despite the political conflict</w:t>
      </w:r>
      <w:r w:rsidR="002C6C3E">
        <w:t>, the investment markets are looking stronger supported by</w:t>
      </w:r>
      <w:r>
        <w:t xml:space="preserve"> </w:t>
      </w:r>
      <w:r w:rsidR="002C6C3E">
        <w:t>company</w:t>
      </w:r>
      <w:r>
        <w:t xml:space="preserve"> </w:t>
      </w:r>
      <w:r w:rsidR="008A4A7F" w:rsidRPr="008A4A7F">
        <w:t xml:space="preserve">fundamentals </w:t>
      </w:r>
      <w:r w:rsidR="002C6C3E">
        <w:t xml:space="preserve">which are </w:t>
      </w:r>
      <w:r w:rsidR="00DB4D4C">
        <w:t xml:space="preserve">still supportive of longer-term </w:t>
      </w:r>
      <w:r w:rsidR="005C4645">
        <w:t xml:space="preserve">recovery but not without </w:t>
      </w:r>
      <w:r w:rsidR="0046215F">
        <w:t>short-term downside risk</w:t>
      </w:r>
      <w:r w:rsidR="005C4645">
        <w:t xml:space="preserve">. Investors </w:t>
      </w:r>
      <w:r w:rsidR="00802B47">
        <w:t>have a</w:t>
      </w:r>
      <w:r w:rsidR="007E1B21">
        <w:t>djusted</w:t>
      </w:r>
      <w:r w:rsidR="00802B47">
        <w:t xml:space="preserve"> their risk appetite </w:t>
      </w:r>
      <w:r w:rsidR="00B26539">
        <w:t>to</w:t>
      </w:r>
      <w:r w:rsidR="0046215F" w:rsidRPr="00975C44">
        <w:rPr>
          <w:b/>
          <w:bCs/>
        </w:rPr>
        <w:t xml:space="preserve"> </w:t>
      </w:r>
      <w:r w:rsidR="00975C44" w:rsidRPr="00975C44">
        <w:rPr>
          <w:b/>
          <w:bCs/>
        </w:rPr>
        <w:t>“</w:t>
      </w:r>
      <w:r w:rsidR="00396B3C">
        <w:rPr>
          <w:b/>
          <w:bCs/>
        </w:rPr>
        <w:t>hold</w:t>
      </w:r>
      <w:r w:rsidR="00975C44" w:rsidRPr="00975C44">
        <w:rPr>
          <w:b/>
          <w:bCs/>
        </w:rPr>
        <w:t>”</w:t>
      </w:r>
      <w:r w:rsidR="00975C44">
        <w:t xml:space="preserve"> </w:t>
      </w:r>
      <w:r w:rsidR="00C103CF">
        <w:t xml:space="preserve">short </w:t>
      </w:r>
      <w:r w:rsidR="006A01FF">
        <w:t>term and</w:t>
      </w:r>
      <w:r w:rsidR="00C103CF">
        <w:t xml:space="preserve"> </w:t>
      </w:r>
      <w:r w:rsidR="00396B3C">
        <w:t xml:space="preserve">remain </w:t>
      </w:r>
      <w:r w:rsidRPr="00784798">
        <w:rPr>
          <w:b/>
          <w:bCs/>
        </w:rPr>
        <w:t>“optimistic”</w:t>
      </w:r>
      <w:r>
        <w:t xml:space="preserve"> </w:t>
      </w:r>
      <w:r w:rsidR="00282C5F">
        <w:t xml:space="preserve">medium term </w:t>
      </w:r>
      <w:r w:rsidR="00B26539">
        <w:t xml:space="preserve">as they await the next round of </w:t>
      </w:r>
      <w:r w:rsidR="00C103CF">
        <w:t xml:space="preserve">inflation data and </w:t>
      </w:r>
      <w:r w:rsidR="00B26539">
        <w:t xml:space="preserve">Central Bank activity </w:t>
      </w:r>
      <w:r w:rsidR="007E753C">
        <w:t xml:space="preserve">however, the signals are getting better and </w:t>
      </w:r>
      <w:r w:rsidR="007E753C" w:rsidRPr="006A01FF">
        <w:rPr>
          <w:b/>
          <w:bCs/>
        </w:rPr>
        <w:t xml:space="preserve">opportunistic </w:t>
      </w:r>
      <w:r w:rsidR="00B26539" w:rsidRPr="006A01FF">
        <w:rPr>
          <w:b/>
          <w:bCs/>
        </w:rPr>
        <w:t>buying</w:t>
      </w:r>
      <w:r w:rsidR="00B26539">
        <w:t xml:space="preserve"> </w:t>
      </w:r>
      <w:r w:rsidR="007E753C">
        <w:t xml:space="preserve">is </w:t>
      </w:r>
      <w:r w:rsidR="00396B3C">
        <w:t>preferred</w:t>
      </w:r>
      <w:r w:rsidR="002C6C3E">
        <w:t xml:space="preserve"> </w:t>
      </w:r>
      <w:r w:rsidR="00111F8D">
        <w:t xml:space="preserve">despite the </w:t>
      </w:r>
      <w:r w:rsidR="00EF169D">
        <w:t xml:space="preserve">threat of an economic </w:t>
      </w:r>
      <w:r w:rsidR="005006DD">
        <w:t>slowdown at</w:t>
      </w:r>
      <w:r w:rsidR="005F21FA">
        <w:t xml:space="preserve"> some future </w:t>
      </w:r>
      <w:proofErr w:type="gramStart"/>
      <w:r w:rsidR="005F21FA">
        <w:t>point</w:t>
      </w:r>
      <w:proofErr w:type="gramEnd"/>
      <w:r w:rsidR="00634FDD">
        <w:t xml:space="preserve"> but the </w:t>
      </w:r>
      <w:r w:rsidR="008970F9">
        <w:t>severity is now seen as limited</w:t>
      </w:r>
      <w:r w:rsidR="00B26539">
        <w:t>.</w:t>
      </w:r>
      <w:r w:rsidR="005C4645">
        <w:t xml:space="preserve"> </w:t>
      </w:r>
      <w:r w:rsidR="006A01FF">
        <w:t xml:space="preserve">We are looking for a </w:t>
      </w:r>
      <w:r w:rsidR="006A01FF" w:rsidRPr="006A01FF">
        <w:rPr>
          <w:b/>
          <w:bCs/>
        </w:rPr>
        <w:t>soft landing</w:t>
      </w:r>
      <w:r w:rsidR="006A01FF">
        <w:t xml:space="preserve"> for Australia.</w:t>
      </w:r>
    </w:p>
    <w:p w14:paraId="247AB076" w14:textId="11C4F6CE" w:rsidR="00E76659" w:rsidRDefault="00EF6467" w:rsidP="004E0CA0">
      <w:r>
        <w:t>Ukraine</w:t>
      </w:r>
      <w:r w:rsidR="00EF169D">
        <w:t xml:space="preserve"> and Israel conflict is still a major concern for investors however, </w:t>
      </w:r>
      <w:r w:rsidR="00784798">
        <w:t xml:space="preserve">we are a long way from the conflict zone and </w:t>
      </w:r>
      <w:r w:rsidR="006412E9">
        <w:t xml:space="preserve">the </w:t>
      </w:r>
      <w:r w:rsidR="00EF169D">
        <w:t xml:space="preserve">global </w:t>
      </w:r>
      <w:r w:rsidR="006A01FF">
        <w:t xml:space="preserve">economic data </w:t>
      </w:r>
      <w:r w:rsidR="00BB7944">
        <w:t xml:space="preserve">is improving </w:t>
      </w:r>
      <w:r w:rsidR="00CB3683">
        <w:t xml:space="preserve">slowly </w:t>
      </w:r>
      <w:r w:rsidR="00BB7944">
        <w:t xml:space="preserve">but the </w:t>
      </w:r>
      <w:r w:rsidR="00457450">
        <w:t xml:space="preserve">main </w:t>
      </w:r>
      <w:r w:rsidR="00BB7944">
        <w:t xml:space="preserve">influence on our market </w:t>
      </w:r>
      <w:r w:rsidR="00EF169D">
        <w:t xml:space="preserve">remains from </w:t>
      </w:r>
      <w:r w:rsidR="00BB7944">
        <w:t>offshore</w:t>
      </w:r>
      <w:r w:rsidR="00CB3683">
        <w:t>, especially China</w:t>
      </w:r>
      <w:r w:rsidR="00BB7944">
        <w:t xml:space="preserve">. </w:t>
      </w:r>
      <w:r w:rsidR="00CB3683">
        <w:t xml:space="preserve">China is experiencing issues relating to </w:t>
      </w:r>
      <w:r w:rsidR="00EF169D">
        <w:t xml:space="preserve">growth and </w:t>
      </w:r>
      <w:r w:rsidR="00404E3B">
        <w:t xml:space="preserve">Property developers </w:t>
      </w:r>
      <w:r w:rsidR="00E3272D">
        <w:t>which is holding back the improving underlying market conditions</w:t>
      </w:r>
      <w:r w:rsidR="00190B5B">
        <w:t xml:space="preserve"> in the region</w:t>
      </w:r>
      <w:r w:rsidR="00E3272D">
        <w:t xml:space="preserve">. </w:t>
      </w:r>
    </w:p>
    <w:p w14:paraId="76521B76" w14:textId="77777777" w:rsidR="00FA16D9" w:rsidRDefault="00FA16D9" w:rsidP="00FA16D9">
      <w:pPr>
        <w:rPr>
          <w:b/>
          <w:bCs/>
        </w:rPr>
      </w:pPr>
    </w:p>
    <w:p w14:paraId="29C3CAAC" w14:textId="77777777" w:rsidR="00FA16D9" w:rsidRDefault="00FA16D9" w:rsidP="00FA16D9">
      <w:pPr>
        <w:rPr>
          <w:b/>
          <w:bCs/>
        </w:rPr>
      </w:pPr>
    </w:p>
    <w:p w14:paraId="40751F0F" w14:textId="77777777" w:rsidR="00FA16D9" w:rsidRDefault="00FA16D9" w:rsidP="00FA16D9">
      <w:pPr>
        <w:rPr>
          <w:b/>
          <w:bCs/>
        </w:rPr>
      </w:pPr>
    </w:p>
    <w:p w14:paraId="60424A27" w14:textId="77777777" w:rsidR="00FA16D9" w:rsidRDefault="00FA16D9" w:rsidP="00FA16D9">
      <w:pPr>
        <w:rPr>
          <w:b/>
          <w:bCs/>
        </w:rPr>
      </w:pPr>
    </w:p>
    <w:p w14:paraId="7187872E" w14:textId="77777777" w:rsidR="00FA16D9" w:rsidRDefault="00FA16D9" w:rsidP="00FA16D9">
      <w:pPr>
        <w:rPr>
          <w:b/>
          <w:bCs/>
        </w:rPr>
      </w:pPr>
    </w:p>
    <w:p w14:paraId="213641F9" w14:textId="6FCF7E45" w:rsidR="00816933" w:rsidRDefault="00FA16D9" w:rsidP="00FA16D9">
      <w:r w:rsidRPr="00816933">
        <w:rPr>
          <w:b/>
          <w:bCs/>
          <w:sz w:val="28"/>
          <w:szCs w:val="28"/>
        </w:rPr>
        <w:lastRenderedPageBreak/>
        <w:t xml:space="preserve">Summary Of the </w:t>
      </w:r>
      <w:r w:rsidR="006E0DCD">
        <w:rPr>
          <w:b/>
          <w:bCs/>
          <w:sz w:val="28"/>
          <w:szCs w:val="28"/>
        </w:rPr>
        <w:t xml:space="preserve">Australian </w:t>
      </w:r>
      <w:r w:rsidRPr="00816933">
        <w:rPr>
          <w:b/>
          <w:bCs/>
          <w:sz w:val="28"/>
          <w:szCs w:val="28"/>
        </w:rPr>
        <w:t>Federal Budget 2024</w:t>
      </w:r>
      <w:r>
        <w:t xml:space="preserve"> </w:t>
      </w:r>
    </w:p>
    <w:p w14:paraId="43AF4536" w14:textId="09AD31FD" w:rsidR="00FA16D9" w:rsidRDefault="00FA16D9" w:rsidP="00FA16D9">
      <w:r>
        <w:t>announced by the Treasurer, Dr Jim Chambers 1</w:t>
      </w:r>
      <w:r w:rsidR="00986639">
        <w:t>4</w:t>
      </w:r>
      <w:r w:rsidRPr="00FA16D9">
        <w:rPr>
          <w:vertAlign w:val="superscript"/>
        </w:rPr>
        <w:t>th</w:t>
      </w:r>
      <w:r>
        <w:t xml:space="preserve"> May 2024.</w:t>
      </w:r>
    </w:p>
    <w:p w14:paraId="7B5A152C" w14:textId="1D7E6F15" w:rsidR="003B1467" w:rsidRDefault="005006DD" w:rsidP="00C25AA0">
      <w:pPr>
        <w:tabs>
          <w:tab w:val="left" w:pos="1800"/>
        </w:tabs>
      </w:pPr>
      <w:r>
        <w:rPr>
          <w:b/>
          <w:bCs/>
          <w:noProof/>
        </w:rPr>
        <mc:AlternateContent>
          <mc:Choice Requires="wps">
            <w:drawing>
              <wp:anchor distT="0" distB="0" distL="114300" distR="114300" simplePos="0" relativeHeight="251660288" behindDoc="0" locked="0" layoutInCell="1" allowOverlap="1" wp14:anchorId="3B61D54F" wp14:editId="17F4982B">
                <wp:simplePos x="0" y="0"/>
                <wp:positionH relativeFrom="column">
                  <wp:posOffset>-76200</wp:posOffset>
                </wp:positionH>
                <wp:positionV relativeFrom="paragraph">
                  <wp:posOffset>144780</wp:posOffset>
                </wp:positionV>
                <wp:extent cx="5905500" cy="5467350"/>
                <wp:effectExtent l="9525" t="8255" r="9525" b="10795"/>
                <wp:wrapNone/>
                <wp:docPr id="15982635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467350"/>
                        </a:xfrm>
                        <a:prstGeom prst="rect">
                          <a:avLst/>
                        </a:prstGeom>
                        <a:solidFill>
                          <a:srgbClr val="FFFFFF"/>
                        </a:solidFill>
                        <a:ln w="12700">
                          <a:solidFill>
                            <a:srgbClr val="0000FF"/>
                          </a:solidFill>
                          <a:miter lim="800000"/>
                          <a:headEnd/>
                          <a:tailEnd/>
                        </a:ln>
                      </wps:spPr>
                      <wps:txbx>
                        <w:txbxContent>
                          <w:p w14:paraId="4CE81884" w14:textId="3D2DC0E1" w:rsidR="00CE7A4C" w:rsidRPr="00CE7A4C" w:rsidRDefault="00CE7A4C" w:rsidP="00CE7A4C">
                            <w:pPr>
                              <w:pStyle w:val="ListParagraph"/>
                              <w:rPr>
                                <w:b/>
                                <w:bCs/>
                              </w:rPr>
                            </w:pPr>
                            <w:r w:rsidRPr="00CE7A4C">
                              <w:rPr>
                                <w:b/>
                                <w:bCs/>
                              </w:rPr>
                              <w:t>Personal Taxation</w:t>
                            </w:r>
                          </w:p>
                          <w:p w14:paraId="57FDD9B7" w14:textId="77777777" w:rsidR="0044661F" w:rsidRDefault="0044661F" w:rsidP="005006DD">
                            <w:pPr>
                              <w:pStyle w:val="ListParagraph"/>
                              <w:numPr>
                                <w:ilvl w:val="0"/>
                                <w:numId w:val="10"/>
                              </w:numPr>
                            </w:pPr>
                            <w:r>
                              <w:t xml:space="preserve">Revised Stage 3 </w:t>
                            </w:r>
                            <w:r w:rsidRPr="00CE7A4C">
                              <w:rPr>
                                <w:b/>
                                <w:bCs/>
                              </w:rPr>
                              <w:t>tax cuts</w:t>
                            </w:r>
                            <w:r>
                              <w:t xml:space="preserve"> will deliver tax savings from 1 July 2024.</w:t>
                            </w:r>
                          </w:p>
                          <w:p w14:paraId="15E2913E" w14:textId="5F940747" w:rsidR="00CE7A4C" w:rsidRPr="00CE7A4C" w:rsidRDefault="00CE7A4C" w:rsidP="00CE7A4C">
                            <w:pPr>
                              <w:pStyle w:val="ListParagraph"/>
                              <w:rPr>
                                <w:b/>
                                <w:bCs/>
                              </w:rPr>
                            </w:pPr>
                            <w:r w:rsidRPr="0044661F">
                              <w:rPr>
                                <w:b/>
                                <w:bCs/>
                              </w:rPr>
                              <w:t>Cost of Living</w:t>
                            </w:r>
                          </w:p>
                          <w:p w14:paraId="75B23BC0" w14:textId="422CCDC0" w:rsidR="00CE7A4C" w:rsidRPr="00CE7A4C" w:rsidRDefault="0044661F" w:rsidP="005006DD">
                            <w:pPr>
                              <w:pStyle w:val="ListParagraph"/>
                              <w:numPr>
                                <w:ilvl w:val="0"/>
                                <w:numId w:val="10"/>
                              </w:numPr>
                            </w:pPr>
                            <w:r w:rsidRPr="00CE7A4C">
                              <w:rPr>
                                <w:b/>
                                <w:bCs/>
                              </w:rPr>
                              <w:t>Energy bill relief</w:t>
                            </w:r>
                            <w:r>
                              <w:t xml:space="preserve"> will provide savings of up to $300 for all households and $325 for eligible small businesses. </w:t>
                            </w:r>
                            <w:r w:rsidR="00BA1109">
                              <w:t>Effective date: 1</w:t>
                            </w:r>
                            <w:r w:rsidR="00BA1109" w:rsidRPr="00BA1109">
                              <w:rPr>
                                <w:vertAlign w:val="superscript"/>
                              </w:rPr>
                              <w:t>st</w:t>
                            </w:r>
                            <w:r w:rsidR="00BA1109">
                              <w:t xml:space="preserve"> July 2024.</w:t>
                            </w:r>
                          </w:p>
                          <w:p w14:paraId="09A84615" w14:textId="65DDCD62" w:rsidR="00CE7A4C" w:rsidRDefault="00CE7A4C" w:rsidP="005006DD">
                            <w:pPr>
                              <w:pStyle w:val="ListParagraph"/>
                              <w:numPr>
                                <w:ilvl w:val="0"/>
                                <w:numId w:val="10"/>
                              </w:numPr>
                            </w:pPr>
                            <w:r w:rsidRPr="00CE7A4C">
                              <w:rPr>
                                <w:b/>
                                <w:bCs/>
                              </w:rPr>
                              <w:t>Higher Education Loan Program</w:t>
                            </w:r>
                            <w:r w:rsidRPr="00CE7A4C">
                              <w:t xml:space="preserve"> (HELP) debt will be indexed at the lower of the Consumer </w:t>
                            </w:r>
                            <w:r w:rsidR="005006DD" w:rsidRPr="00CE7A4C">
                              <w:t>Price Index</w:t>
                            </w:r>
                            <w:r w:rsidRPr="00CE7A4C">
                              <w:t xml:space="preserve"> (CPI) and the Wage Price Index (WPI). Currently, HELP debt is indexed to CPI.</w:t>
                            </w:r>
                            <w:r w:rsidR="00BA1109">
                              <w:t xml:space="preserve"> Effective date: 1</w:t>
                            </w:r>
                            <w:r w:rsidR="00BA1109" w:rsidRPr="00BA1109">
                              <w:rPr>
                                <w:vertAlign w:val="superscript"/>
                              </w:rPr>
                              <w:t>st</w:t>
                            </w:r>
                            <w:r w:rsidR="00BA1109">
                              <w:t xml:space="preserve"> July 2024.</w:t>
                            </w:r>
                          </w:p>
                          <w:p w14:paraId="5C34ECE8" w14:textId="4BDE1E35" w:rsidR="00CE7A4C" w:rsidRDefault="00CE7A4C" w:rsidP="005006DD">
                            <w:pPr>
                              <w:pStyle w:val="ListParagraph"/>
                              <w:numPr>
                                <w:ilvl w:val="0"/>
                                <w:numId w:val="10"/>
                              </w:numPr>
                            </w:pPr>
                            <w:r w:rsidRPr="00CE7A4C">
                              <w:t xml:space="preserve">The indexation of the </w:t>
                            </w:r>
                            <w:r w:rsidRPr="00CE7A4C">
                              <w:rPr>
                                <w:b/>
                                <w:bCs/>
                              </w:rPr>
                              <w:t>Pharmaceutical Benefits Scheme</w:t>
                            </w:r>
                            <w:r w:rsidRPr="00CE7A4C">
                              <w:t xml:space="preserve"> (PBS) concessional co-payment will be frozen from 1 January 2025 until 31 December 2029 for pensioners and other Commonwealth concession card holders. This means the co-payment remains at $7.70.</w:t>
                            </w:r>
                            <w:r w:rsidR="00BA1109">
                              <w:t xml:space="preserve"> Effective date: 1</w:t>
                            </w:r>
                            <w:r w:rsidR="00BA1109" w:rsidRPr="00BA1109">
                              <w:rPr>
                                <w:vertAlign w:val="superscript"/>
                              </w:rPr>
                              <w:t>st</w:t>
                            </w:r>
                            <w:r w:rsidR="00BA1109">
                              <w:t xml:space="preserve"> January 2025.</w:t>
                            </w:r>
                          </w:p>
                          <w:p w14:paraId="727BFAF5" w14:textId="3E3BE573" w:rsidR="0044661F" w:rsidRPr="0044661F" w:rsidRDefault="0044661F" w:rsidP="0044661F">
                            <w:pPr>
                              <w:pStyle w:val="ListParagraph"/>
                              <w:rPr>
                                <w:b/>
                                <w:bCs/>
                              </w:rPr>
                            </w:pPr>
                            <w:r w:rsidRPr="0044661F">
                              <w:rPr>
                                <w:b/>
                                <w:bCs/>
                              </w:rPr>
                              <w:t>Small Businesses</w:t>
                            </w:r>
                          </w:p>
                          <w:p w14:paraId="5C8E48D6" w14:textId="77777777" w:rsidR="0044661F" w:rsidRDefault="0044661F" w:rsidP="005006DD">
                            <w:pPr>
                              <w:pStyle w:val="ListParagraph"/>
                              <w:numPr>
                                <w:ilvl w:val="0"/>
                                <w:numId w:val="10"/>
                              </w:numPr>
                            </w:pPr>
                            <w:r>
                              <w:t xml:space="preserve">The $20,000 </w:t>
                            </w:r>
                            <w:r w:rsidRPr="00CE7A4C">
                              <w:rPr>
                                <w:b/>
                                <w:bCs/>
                              </w:rPr>
                              <w:t xml:space="preserve">instant asset write-off </w:t>
                            </w:r>
                            <w:r>
                              <w:t>threshold for eligible small businesses will be extended for another 12 months until 30 June 2025.</w:t>
                            </w:r>
                          </w:p>
                          <w:p w14:paraId="24B250E4" w14:textId="606F6B75" w:rsidR="0044661F" w:rsidRPr="0044661F" w:rsidRDefault="0044661F" w:rsidP="0044661F">
                            <w:pPr>
                              <w:pStyle w:val="ListParagraph"/>
                              <w:rPr>
                                <w:b/>
                                <w:bCs/>
                              </w:rPr>
                            </w:pPr>
                            <w:r w:rsidRPr="0044661F">
                              <w:rPr>
                                <w:b/>
                                <w:bCs/>
                              </w:rPr>
                              <w:t>Superannuation</w:t>
                            </w:r>
                          </w:p>
                          <w:p w14:paraId="598D15D4" w14:textId="77777777" w:rsidR="0044661F" w:rsidRDefault="0044661F" w:rsidP="005006DD">
                            <w:pPr>
                              <w:pStyle w:val="ListParagraph"/>
                              <w:numPr>
                                <w:ilvl w:val="0"/>
                                <w:numId w:val="10"/>
                              </w:numPr>
                            </w:pPr>
                            <w:r>
                              <w:t xml:space="preserve">Superannuation Guarantee will be </w:t>
                            </w:r>
                            <w:r w:rsidRPr="00CE7A4C">
                              <w:rPr>
                                <w:b/>
                                <w:bCs/>
                              </w:rPr>
                              <w:t>paid on Paid Parental Leave</w:t>
                            </w:r>
                            <w:r>
                              <w:t xml:space="preserve"> from 1 July 2025.</w:t>
                            </w:r>
                          </w:p>
                          <w:p w14:paraId="7B5B7B69" w14:textId="115E6219" w:rsidR="0044661F" w:rsidRPr="0044661F" w:rsidRDefault="0044661F" w:rsidP="0044661F">
                            <w:pPr>
                              <w:pStyle w:val="ListParagraph"/>
                              <w:rPr>
                                <w:b/>
                                <w:bCs/>
                              </w:rPr>
                            </w:pPr>
                            <w:r w:rsidRPr="0044661F">
                              <w:rPr>
                                <w:b/>
                                <w:bCs/>
                              </w:rPr>
                              <w:t>Social Security</w:t>
                            </w:r>
                          </w:p>
                          <w:p w14:paraId="5D148796" w14:textId="3E795695" w:rsidR="00816933" w:rsidRDefault="0044661F" w:rsidP="005006DD">
                            <w:pPr>
                              <w:pStyle w:val="ListParagraph"/>
                              <w:numPr>
                                <w:ilvl w:val="0"/>
                                <w:numId w:val="10"/>
                              </w:numPr>
                            </w:pPr>
                            <w:r>
                              <w:t xml:space="preserve">The maximum Commonwealth </w:t>
                            </w:r>
                            <w:r w:rsidRPr="00CE7A4C">
                              <w:rPr>
                                <w:b/>
                                <w:bCs/>
                              </w:rPr>
                              <w:t>Rent Assistance</w:t>
                            </w:r>
                            <w:r>
                              <w:t xml:space="preserve"> will be increased by 10%.</w:t>
                            </w:r>
                          </w:p>
                          <w:p w14:paraId="7AFC0599" w14:textId="77777777" w:rsidR="0044661F" w:rsidRDefault="0044661F" w:rsidP="005006DD">
                            <w:pPr>
                              <w:pStyle w:val="ListParagraph"/>
                              <w:numPr>
                                <w:ilvl w:val="0"/>
                                <w:numId w:val="10"/>
                              </w:numPr>
                            </w:pPr>
                            <w:r>
                              <w:t xml:space="preserve">The freeze on social security </w:t>
                            </w:r>
                            <w:r w:rsidRPr="00BA1109">
                              <w:rPr>
                                <w:b/>
                                <w:bCs/>
                              </w:rPr>
                              <w:t>deeming rates</w:t>
                            </w:r>
                            <w:r>
                              <w:t xml:space="preserve"> for financial investments will be extended until 30 June 2025.</w:t>
                            </w:r>
                          </w:p>
                          <w:p w14:paraId="07BCCD82" w14:textId="3971F508" w:rsidR="00BA1109" w:rsidRDefault="00BA1109" w:rsidP="005006DD">
                            <w:pPr>
                              <w:pStyle w:val="ListParagraph"/>
                              <w:numPr>
                                <w:ilvl w:val="0"/>
                                <w:numId w:val="10"/>
                              </w:numPr>
                            </w:pPr>
                            <w:r w:rsidRPr="00BA1109">
                              <w:rPr>
                                <w:b/>
                                <w:bCs/>
                              </w:rPr>
                              <w:t>Carer Payment</w:t>
                            </w:r>
                            <w:r w:rsidRPr="00BA1109">
                              <w:t xml:space="preserve"> recipients will be able to work 100 hours over a four-week period (known as the ‘participation limit’). In addition, travel time, education and volunteering activities will be </w:t>
                            </w:r>
                            <w:r w:rsidR="005006DD" w:rsidRPr="00BA1109">
                              <w:t>excluded from</w:t>
                            </w:r>
                            <w:r w:rsidRPr="00BA1109">
                              <w:t xml:space="preserve"> the participation limit. </w:t>
                            </w:r>
                            <w:r>
                              <w:t>Effective date: 20</w:t>
                            </w:r>
                            <w:r w:rsidRPr="00BA1109">
                              <w:rPr>
                                <w:vertAlign w:val="superscript"/>
                              </w:rPr>
                              <w:t>th</w:t>
                            </w:r>
                            <w:r>
                              <w:t xml:space="preserve"> March 2025</w:t>
                            </w:r>
                            <w:r w:rsidRPr="00BA1109">
                              <w:t xml:space="preserve"> </w:t>
                            </w:r>
                          </w:p>
                          <w:p w14:paraId="31D2B1CE" w14:textId="77992E47" w:rsidR="0044661F" w:rsidRPr="00671CB3" w:rsidRDefault="00671CB3" w:rsidP="0044661F">
                            <w:pPr>
                              <w:pStyle w:val="ListParagraph"/>
                              <w:rPr>
                                <w:sz w:val="18"/>
                                <w:szCs w:val="18"/>
                              </w:rPr>
                            </w:pPr>
                            <w:r w:rsidRPr="00671CB3">
                              <w:rPr>
                                <w:b/>
                                <w:bCs/>
                                <w:sz w:val="18"/>
                                <w:szCs w:val="18"/>
                              </w:rPr>
                              <w:t>Source:</w:t>
                            </w:r>
                            <w:r w:rsidRPr="00671CB3">
                              <w:rPr>
                                <w:sz w:val="18"/>
                                <w:szCs w:val="18"/>
                              </w:rPr>
                              <w:t xml:space="preserve"> MLC TechConnect</w:t>
                            </w:r>
                            <w:r>
                              <w:rPr>
                                <w:sz w:val="18"/>
                                <w:szCs w:val="18"/>
                              </w:rPr>
                              <w:t xml:space="preserve"> published 14</w:t>
                            </w:r>
                            <w:r w:rsidRPr="00671CB3">
                              <w:rPr>
                                <w:sz w:val="18"/>
                                <w:szCs w:val="18"/>
                                <w:vertAlign w:val="superscript"/>
                              </w:rPr>
                              <w:t>th</w:t>
                            </w:r>
                            <w:r>
                              <w:rPr>
                                <w:sz w:val="18"/>
                                <w:szCs w:val="18"/>
                              </w:rPr>
                              <w:t xml:space="preserve"> May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1D54F" id="_x0000_t202" coordsize="21600,21600" o:spt="202" path="m,l,21600r21600,l21600,xe">
                <v:stroke joinstyle="miter"/>
                <v:path gradientshapeok="t" o:connecttype="rect"/>
              </v:shapetype>
              <v:shape id="Text Box 5" o:spid="_x0000_s1026" type="#_x0000_t202" style="position:absolute;margin-left:-6pt;margin-top:11.4pt;width:465pt;height:4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6NGAIAAC0EAAAOAAAAZHJzL2Uyb0RvYy54bWysU9tu2zAMfR+wfxD0vtjJkl6MOEWXLsOA&#10;7gJ0+wBFlmNhsqhRSuzs60vJbhp0wx6G6UEQReqIPDxc3vStYQeFXoMt+XSSc6ashErbXcm/f9u8&#10;ueLMB2ErYcCqkh+V5zer16+WnSvUDBowlUJGINYXnSt5E4IrsszLRrXCT8ApS84asBWBTNxlFYqO&#10;0FuTzfL8IusAK4cglfd0ezc4+Srh17WS4UtdexWYKTnlFtKOad/GPVstRbFD4RotxzTEP2TRCm3p&#10;0xPUnQiC7VH/BtVqieChDhMJbQZ1raVKNVA10/xFNQ+NcCrVQuR4d6LJ/z9Y+fnw4L4iC/076KmB&#10;qQjv7kH+8MzCuhF2p24RoWuUqOjjaaQs65wvxqeRal/4CLLtPkFFTRb7AAmor7GNrFCdjNCpAccT&#10;6aoPTNLl4jpfLHJySfIt5heXbxepLZkonp479OGDgpbFQ8mRuprgxeHeh5iOKJ5C4m8ejK422phk&#10;4G67NsgOghSwSStV8CLMWNZRcbNLyuTvGDmtzeZPGK0OpGWj25JfxahRXZG497ZKSgtCm+FMORs7&#10;MhnJG2gM/banwMjoFqojcYowaJZmjA4N4C/OOtJryf3PvUDFmfloqS/X0/k8CjwZ88XljAw892zP&#10;PcJKgip54Gw4rsMwFHuHetfQT4MSLNxSL2udWH7OasybNJnIH+cniv7cTlHPU756BAAA//8DAFBL&#10;AwQUAAYACAAAACEA2GR0lOEAAAAKAQAADwAAAGRycy9kb3ducmV2LnhtbEyPy07DMBBF90j8gzVI&#10;7Fo7RippGqcCBBvY0IcE3bnxNInqRxS7beDrGVawnJmrO+eUy9FZdsYhdsEryKYCGPo6mM43Crab&#10;l0kOLCbtjbbBo4IvjLCsrq9KXZhw8Ss8r1PDqMTHQitoU+oLzmPdotNxGnr0dDuEwelE49BwM+gL&#10;lTvLpRAz7nTn6UOre3xqsT6uT07B46v4xPRsd4ePzfebeJ8f72dyq9TtzfiwAJZwTH9h+MUndKiI&#10;aR9O3kRmFUwySS5JgZSkQIF5ltNiryDP73LgVcn/K1Q/AAAA//8DAFBLAQItABQABgAIAAAAIQC2&#10;gziS/gAAAOEBAAATAAAAAAAAAAAAAAAAAAAAAABbQ29udGVudF9UeXBlc10ueG1sUEsBAi0AFAAG&#10;AAgAAAAhADj9If/WAAAAlAEAAAsAAAAAAAAAAAAAAAAALwEAAF9yZWxzLy5yZWxzUEsBAi0AFAAG&#10;AAgAAAAhACPn7o0YAgAALQQAAA4AAAAAAAAAAAAAAAAALgIAAGRycy9lMm9Eb2MueG1sUEsBAi0A&#10;FAAGAAgAAAAhANhkdJThAAAACgEAAA8AAAAAAAAAAAAAAAAAcgQAAGRycy9kb3ducmV2LnhtbFBL&#10;BQYAAAAABAAEAPMAAACABQAAAAA=&#10;" strokecolor="blue" strokeweight="1pt">
                <v:textbox>
                  <w:txbxContent>
                    <w:p w14:paraId="4CE81884" w14:textId="3D2DC0E1" w:rsidR="00CE7A4C" w:rsidRPr="00CE7A4C" w:rsidRDefault="00CE7A4C" w:rsidP="00CE7A4C">
                      <w:pPr>
                        <w:pStyle w:val="ListParagraph"/>
                        <w:rPr>
                          <w:b/>
                          <w:bCs/>
                        </w:rPr>
                      </w:pPr>
                      <w:r w:rsidRPr="00CE7A4C">
                        <w:rPr>
                          <w:b/>
                          <w:bCs/>
                        </w:rPr>
                        <w:t>Personal Taxation</w:t>
                      </w:r>
                    </w:p>
                    <w:p w14:paraId="57FDD9B7" w14:textId="77777777" w:rsidR="0044661F" w:rsidRDefault="0044661F" w:rsidP="005006DD">
                      <w:pPr>
                        <w:pStyle w:val="ListParagraph"/>
                        <w:numPr>
                          <w:ilvl w:val="0"/>
                          <w:numId w:val="10"/>
                        </w:numPr>
                      </w:pPr>
                      <w:r>
                        <w:t xml:space="preserve">Revised Stage 3 </w:t>
                      </w:r>
                      <w:r w:rsidRPr="00CE7A4C">
                        <w:rPr>
                          <w:b/>
                          <w:bCs/>
                        </w:rPr>
                        <w:t>tax cuts</w:t>
                      </w:r>
                      <w:r>
                        <w:t xml:space="preserve"> will deliver tax savings from 1 July 2024.</w:t>
                      </w:r>
                    </w:p>
                    <w:p w14:paraId="15E2913E" w14:textId="5F940747" w:rsidR="00CE7A4C" w:rsidRPr="00CE7A4C" w:rsidRDefault="00CE7A4C" w:rsidP="00CE7A4C">
                      <w:pPr>
                        <w:pStyle w:val="ListParagraph"/>
                        <w:rPr>
                          <w:b/>
                          <w:bCs/>
                        </w:rPr>
                      </w:pPr>
                      <w:r w:rsidRPr="0044661F">
                        <w:rPr>
                          <w:b/>
                          <w:bCs/>
                        </w:rPr>
                        <w:t>Cost of Living</w:t>
                      </w:r>
                    </w:p>
                    <w:p w14:paraId="75B23BC0" w14:textId="422CCDC0" w:rsidR="00CE7A4C" w:rsidRPr="00CE7A4C" w:rsidRDefault="0044661F" w:rsidP="005006DD">
                      <w:pPr>
                        <w:pStyle w:val="ListParagraph"/>
                        <w:numPr>
                          <w:ilvl w:val="0"/>
                          <w:numId w:val="10"/>
                        </w:numPr>
                      </w:pPr>
                      <w:r w:rsidRPr="00CE7A4C">
                        <w:rPr>
                          <w:b/>
                          <w:bCs/>
                        </w:rPr>
                        <w:t>Energy bill relief</w:t>
                      </w:r>
                      <w:r>
                        <w:t xml:space="preserve"> will provide savings of up to $300 for all households and $325 for eligible small businesses. </w:t>
                      </w:r>
                      <w:r w:rsidR="00BA1109">
                        <w:t>Effective date: 1</w:t>
                      </w:r>
                      <w:r w:rsidR="00BA1109" w:rsidRPr="00BA1109">
                        <w:rPr>
                          <w:vertAlign w:val="superscript"/>
                        </w:rPr>
                        <w:t>st</w:t>
                      </w:r>
                      <w:r w:rsidR="00BA1109">
                        <w:t xml:space="preserve"> July 2024.</w:t>
                      </w:r>
                    </w:p>
                    <w:p w14:paraId="09A84615" w14:textId="65DDCD62" w:rsidR="00CE7A4C" w:rsidRDefault="00CE7A4C" w:rsidP="005006DD">
                      <w:pPr>
                        <w:pStyle w:val="ListParagraph"/>
                        <w:numPr>
                          <w:ilvl w:val="0"/>
                          <w:numId w:val="10"/>
                        </w:numPr>
                      </w:pPr>
                      <w:r w:rsidRPr="00CE7A4C">
                        <w:rPr>
                          <w:b/>
                          <w:bCs/>
                        </w:rPr>
                        <w:t>Higher Education Loan Program</w:t>
                      </w:r>
                      <w:r w:rsidRPr="00CE7A4C">
                        <w:t xml:space="preserve"> (HELP) debt will be indexed at the lower of the Consumer </w:t>
                      </w:r>
                      <w:r w:rsidR="005006DD" w:rsidRPr="00CE7A4C">
                        <w:t>Price Index</w:t>
                      </w:r>
                      <w:r w:rsidRPr="00CE7A4C">
                        <w:t xml:space="preserve"> (CPI) and the Wage Price Index (WPI). Currently, HELP debt is indexed to CPI.</w:t>
                      </w:r>
                      <w:r w:rsidR="00BA1109">
                        <w:t xml:space="preserve"> Effective date: 1</w:t>
                      </w:r>
                      <w:r w:rsidR="00BA1109" w:rsidRPr="00BA1109">
                        <w:rPr>
                          <w:vertAlign w:val="superscript"/>
                        </w:rPr>
                        <w:t>st</w:t>
                      </w:r>
                      <w:r w:rsidR="00BA1109">
                        <w:t xml:space="preserve"> July 2024.</w:t>
                      </w:r>
                    </w:p>
                    <w:p w14:paraId="5C34ECE8" w14:textId="4BDE1E35" w:rsidR="00CE7A4C" w:rsidRDefault="00CE7A4C" w:rsidP="005006DD">
                      <w:pPr>
                        <w:pStyle w:val="ListParagraph"/>
                        <w:numPr>
                          <w:ilvl w:val="0"/>
                          <w:numId w:val="10"/>
                        </w:numPr>
                      </w:pPr>
                      <w:r w:rsidRPr="00CE7A4C">
                        <w:t xml:space="preserve">The indexation of the </w:t>
                      </w:r>
                      <w:r w:rsidRPr="00CE7A4C">
                        <w:rPr>
                          <w:b/>
                          <w:bCs/>
                        </w:rPr>
                        <w:t>Pharmaceutical Benefits Scheme</w:t>
                      </w:r>
                      <w:r w:rsidRPr="00CE7A4C">
                        <w:t xml:space="preserve"> (PBS) concessional co-payment will be frozen from 1 January 2025 until 31 December 2029 for pensioners and other Commonwealth concession card holders. This means the co-payment remains at $7.70.</w:t>
                      </w:r>
                      <w:r w:rsidR="00BA1109">
                        <w:t xml:space="preserve"> Effective date: 1</w:t>
                      </w:r>
                      <w:r w:rsidR="00BA1109" w:rsidRPr="00BA1109">
                        <w:rPr>
                          <w:vertAlign w:val="superscript"/>
                        </w:rPr>
                        <w:t>st</w:t>
                      </w:r>
                      <w:r w:rsidR="00BA1109">
                        <w:t xml:space="preserve"> January 2025.</w:t>
                      </w:r>
                    </w:p>
                    <w:p w14:paraId="727BFAF5" w14:textId="3E3BE573" w:rsidR="0044661F" w:rsidRPr="0044661F" w:rsidRDefault="0044661F" w:rsidP="0044661F">
                      <w:pPr>
                        <w:pStyle w:val="ListParagraph"/>
                        <w:rPr>
                          <w:b/>
                          <w:bCs/>
                        </w:rPr>
                      </w:pPr>
                      <w:r w:rsidRPr="0044661F">
                        <w:rPr>
                          <w:b/>
                          <w:bCs/>
                        </w:rPr>
                        <w:t>Small Businesses</w:t>
                      </w:r>
                    </w:p>
                    <w:p w14:paraId="5C8E48D6" w14:textId="77777777" w:rsidR="0044661F" w:rsidRDefault="0044661F" w:rsidP="005006DD">
                      <w:pPr>
                        <w:pStyle w:val="ListParagraph"/>
                        <w:numPr>
                          <w:ilvl w:val="0"/>
                          <w:numId w:val="10"/>
                        </w:numPr>
                      </w:pPr>
                      <w:r>
                        <w:t xml:space="preserve">The $20,000 </w:t>
                      </w:r>
                      <w:r w:rsidRPr="00CE7A4C">
                        <w:rPr>
                          <w:b/>
                          <w:bCs/>
                        </w:rPr>
                        <w:t xml:space="preserve">instant asset write-off </w:t>
                      </w:r>
                      <w:r>
                        <w:t>threshold for eligible small businesses will be extended for another 12 months until 30 June 2025.</w:t>
                      </w:r>
                    </w:p>
                    <w:p w14:paraId="24B250E4" w14:textId="606F6B75" w:rsidR="0044661F" w:rsidRPr="0044661F" w:rsidRDefault="0044661F" w:rsidP="0044661F">
                      <w:pPr>
                        <w:pStyle w:val="ListParagraph"/>
                        <w:rPr>
                          <w:b/>
                          <w:bCs/>
                        </w:rPr>
                      </w:pPr>
                      <w:r w:rsidRPr="0044661F">
                        <w:rPr>
                          <w:b/>
                          <w:bCs/>
                        </w:rPr>
                        <w:t>Superannuation</w:t>
                      </w:r>
                    </w:p>
                    <w:p w14:paraId="598D15D4" w14:textId="77777777" w:rsidR="0044661F" w:rsidRDefault="0044661F" w:rsidP="005006DD">
                      <w:pPr>
                        <w:pStyle w:val="ListParagraph"/>
                        <w:numPr>
                          <w:ilvl w:val="0"/>
                          <w:numId w:val="10"/>
                        </w:numPr>
                      </w:pPr>
                      <w:r>
                        <w:t xml:space="preserve">Superannuation Guarantee will be </w:t>
                      </w:r>
                      <w:r w:rsidRPr="00CE7A4C">
                        <w:rPr>
                          <w:b/>
                          <w:bCs/>
                        </w:rPr>
                        <w:t>paid on Paid Parental Leave</w:t>
                      </w:r>
                      <w:r>
                        <w:t xml:space="preserve"> from 1 July 2025.</w:t>
                      </w:r>
                    </w:p>
                    <w:p w14:paraId="7B5B7B69" w14:textId="115E6219" w:rsidR="0044661F" w:rsidRPr="0044661F" w:rsidRDefault="0044661F" w:rsidP="0044661F">
                      <w:pPr>
                        <w:pStyle w:val="ListParagraph"/>
                        <w:rPr>
                          <w:b/>
                          <w:bCs/>
                        </w:rPr>
                      </w:pPr>
                      <w:r w:rsidRPr="0044661F">
                        <w:rPr>
                          <w:b/>
                          <w:bCs/>
                        </w:rPr>
                        <w:t>Social Security</w:t>
                      </w:r>
                    </w:p>
                    <w:p w14:paraId="5D148796" w14:textId="3E795695" w:rsidR="00816933" w:rsidRDefault="0044661F" w:rsidP="005006DD">
                      <w:pPr>
                        <w:pStyle w:val="ListParagraph"/>
                        <w:numPr>
                          <w:ilvl w:val="0"/>
                          <w:numId w:val="10"/>
                        </w:numPr>
                      </w:pPr>
                      <w:r>
                        <w:t xml:space="preserve">The maximum Commonwealth </w:t>
                      </w:r>
                      <w:r w:rsidRPr="00CE7A4C">
                        <w:rPr>
                          <w:b/>
                          <w:bCs/>
                        </w:rPr>
                        <w:t>Rent Assistance</w:t>
                      </w:r>
                      <w:r>
                        <w:t xml:space="preserve"> will be increased by 10%.</w:t>
                      </w:r>
                    </w:p>
                    <w:p w14:paraId="7AFC0599" w14:textId="77777777" w:rsidR="0044661F" w:rsidRDefault="0044661F" w:rsidP="005006DD">
                      <w:pPr>
                        <w:pStyle w:val="ListParagraph"/>
                        <w:numPr>
                          <w:ilvl w:val="0"/>
                          <w:numId w:val="10"/>
                        </w:numPr>
                      </w:pPr>
                      <w:r>
                        <w:t xml:space="preserve">The freeze on social security </w:t>
                      </w:r>
                      <w:r w:rsidRPr="00BA1109">
                        <w:rPr>
                          <w:b/>
                          <w:bCs/>
                        </w:rPr>
                        <w:t>deeming rates</w:t>
                      </w:r>
                      <w:r>
                        <w:t xml:space="preserve"> for financial investments will be extended until 30 June 2025.</w:t>
                      </w:r>
                    </w:p>
                    <w:p w14:paraId="07BCCD82" w14:textId="3971F508" w:rsidR="00BA1109" w:rsidRDefault="00BA1109" w:rsidP="005006DD">
                      <w:pPr>
                        <w:pStyle w:val="ListParagraph"/>
                        <w:numPr>
                          <w:ilvl w:val="0"/>
                          <w:numId w:val="10"/>
                        </w:numPr>
                      </w:pPr>
                      <w:r w:rsidRPr="00BA1109">
                        <w:rPr>
                          <w:b/>
                          <w:bCs/>
                        </w:rPr>
                        <w:t>Carer Payment</w:t>
                      </w:r>
                      <w:r w:rsidRPr="00BA1109">
                        <w:t xml:space="preserve"> recipients will be able to work 100 hours over a four-week period (known as the ‘participation limit’). In addition, travel time, education and volunteering activities will be </w:t>
                      </w:r>
                      <w:r w:rsidR="005006DD" w:rsidRPr="00BA1109">
                        <w:t>excluded from</w:t>
                      </w:r>
                      <w:r w:rsidRPr="00BA1109">
                        <w:t xml:space="preserve"> the participation limit. </w:t>
                      </w:r>
                      <w:r>
                        <w:t>Effective date: 20</w:t>
                      </w:r>
                      <w:r w:rsidRPr="00BA1109">
                        <w:rPr>
                          <w:vertAlign w:val="superscript"/>
                        </w:rPr>
                        <w:t>th</w:t>
                      </w:r>
                      <w:r>
                        <w:t xml:space="preserve"> March 2025</w:t>
                      </w:r>
                      <w:r w:rsidRPr="00BA1109">
                        <w:t xml:space="preserve"> </w:t>
                      </w:r>
                    </w:p>
                    <w:p w14:paraId="31D2B1CE" w14:textId="77992E47" w:rsidR="0044661F" w:rsidRPr="00671CB3" w:rsidRDefault="00671CB3" w:rsidP="0044661F">
                      <w:pPr>
                        <w:pStyle w:val="ListParagraph"/>
                        <w:rPr>
                          <w:sz w:val="18"/>
                          <w:szCs w:val="18"/>
                        </w:rPr>
                      </w:pPr>
                      <w:r w:rsidRPr="00671CB3">
                        <w:rPr>
                          <w:b/>
                          <w:bCs/>
                          <w:sz w:val="18"/>
                          <w:szCs w:val="18"/>
                        </w:rPr>
                        <w:t>Source:</w:t>
                      </w:r>
                      <w:r w:rsidRPr="00671CB3">
                        <w:rPr>
                          <w:sz w:val="18"/>
                          <w:szCs w:val="18"/>
                        </w:rPr>
                        <w:t xml:space="preserve"> MLC TechConnect</w:t>
                      </w:r>
                      <w:r>
                        <w:rPr>
                          <w:sz w:val="18"/>
                          <w:szCs w:val="18"/>
                        </w:rPr>
                        <w:t xml:space="preserve"> published 14</w:t>
                      </w:r>
                      <w:r w:rsidRPr="00671CB3">
                        <w:rPr>
                          <w:sz w:val="18"/>
                          <w:szCs w:val="18"/>
                          <w:vertAlign w:val="superscript"/>
                        </w:rPr>
                        <w:t>th</w:t>
                      </w:r>
                      <w:r>
                        <w:rPr>
                          <w:sz w:val="18"/>
                          <w:szCs w:val="18"/>
                        </w:rPr>
                        <w:t xml:space="preserve"> May 2024</w:t>
                      </w:r>
                    </w:p>
                  </w:txbxContent>
                </v:textbox>
              </v:shape>
            </w:pict>
          </mc:Fallback>
        </mc:AlternateContent>
      </w:r>
      <w:r w:rsidR="00C25AA0">
        <w:tab/>
      </w:r>
    </w:p>
    <w:p w14:paraId="5D33685C" w14:textId="77777777" w:rsidR="003B1467" w:rsidRDefault="003B1467" w:rsidP="004E0CA0"/>
    <w:p w14:paraId="626D39CA" w14:textId="77777777" w:rsidR="00396B3C" w:rsidRDefault="00396B3C" w:rsidP="004E0CA0"/>
    <w:p w14:paraId="5380B13F" w14:textId="77777777" w:rsidR="00396B3C" w:rsidRDefault="00396B3C" w:rsidP="004E0CA0"/>
    <w:p w14:paraId="655F906F" w14:textId="77777777" w:rsidR="00396B3C" w:rsidRDefault="00396B3C" w:rsidP="004E0CA0"/>
    <w:p w14:paraId="6FAADDD3" w14:textId="77777777" w:rsidR="00396B3C" w:rsidRDefault="00396B3C" w:rsidP="004E0CA0"/>
    <w:p w14:paraId="4E8F353C" w14:textId="77777777" w:rsidR="00396B3C" w:rsidRDefault="00396B3C" w:rsidP="004E0CA0"/>
    <w:p w14:paraId="23D213EA" w14:textId="77777777" w:rsidR="00396B3C" w:rsidRDefault="00396B3C" w:rsidP="004E0CA0"/>
    <w:p w14:paraId="7A834372" w14:textId="77777777" w:rsidR="00396B3C" w:rsidRDefault="00396B3C" w:rsidP="004E0CA0"/>
    <w:p w14:paraId="7FF67AE7" w14:textId="77777777" w:rsidR="00396B3C" w:rsidRDefault="00396B3C" w:rsidP="004E0CA0"/>
    <w:p w14:paraId="0183DCF2" w14:textId="77777777" w:rsidR="00396B3C" w:rsidRDefault="00396B3C" w:rsidP="004E0CA0"/>
    <w:p w14:paraId="6BAC05B8" w14:textId="77777777" w:rsidR="00396B3C" w:rsidRDefault="00396B3C" w:rsidP="004E0CA0"/>
    <w:p w14:paraId="404B558B" w14:textId="77777777" w:rsidR="00396B3C" w:rsidRDefault="00396B3C" w:rsidP="004E0CA0"/>
    <w:p w14:paraId="77C9222A" w14:textId="77777777" w:rsidR="00396B3C" w:rsidRDefault="00396B3C" w:rsidP="004E0CA0"/>
    <w:p w14:paraId="361A9F45" w14:textId="77777777" w:rsidR="00396B3C" w:rsidRDefault="00396B3C" w:rsidP="004E0CA0"/>
    <w:p w14:paraId="24E97545" w14:textId="77777777" w:rsidR="00396B3C" w:rsidRDefault="00396B3C" w:rsidP="004E0CA0"/>
    <w:p w14:paraId="00B85904" w14:textId="77777777" w:rsidR="00396B3C" w:rsidRDefault="00396B3C" w:rsidP="004E0CA0"/>
    <w:p w14:paraId="791F005F" w14:textId="77777777" w:rsidR="00396B3C" w:rsidRDefault="00396B3C" w:rsidP="004E0CA0"/>
    <w:p w14:paraId="7D099641" w14:textId="77777777" w:rsidR="00396B3C" w:rsidRDefault="00396B3C" w:rsidP="004E0CA0"/>
    <w:p w14:paraId="7B09C688" w14:textId="77777777" w:rsidR="00396B3C" w:rsidRDefault="00396B3C" w:rsidP="004E0CA0"/>
    <w:p w14:paraId="754E7362" w14:textId="77777777" w:rsidR="00396B3C" w:rsidRDefault="00396B3C" w:rsidP="004E0CA0"/>
    <w:p w14:paraId="61633DC9" w14:textId="77777777" w:rsidR="00396B3C" w:rsidRDefault="00396B3C" w:rsidP="004E0CA0"/>
    <w:p w14:paraId="1DD7A9AF" w14:textId="77777777" w:rsidR="00396B3C" w:rsidRDefault="00396B3C" w:rsidP="004E0CA0"/>
    <w:p w14:paraId="56222C47" w14:textId="77777777" w:rsidR="006078FE" w:rsidRDefault="006078FE" w:rsidP="004E0CA0"/>
    <w:p w14:paraId="221E2466" w14:textId="77777777" w:rsidR="006078FE" w:rsidRDefault="006078FE" w:rsidP="004E0CA0"/>
    <w:p w14:paraId="06B4CC3F" w14:textId="77777777" w:rsidR="006078FE" w:rsidRDefault="006078FE" w:rsidP="004E0CA0"/>
    <w:p w14:paraId="309D63F9" w14:textId="77777777" w:rsidR="006078FE" w:rsidRDefault="006078FE" w:rsidP="004E0CA0"/>
    <w:p w14:paraId="0E2E95FA" w14:textId="0F79BE72" w:rsidR="004104F2" w:rsidRPr="004B4415" w:rsidRDefault="00FB1617" w:rsidP="00B53288">
      <w:pPr>
        <w:rPr>
          <w:b/>
          <w:bCs/>
        </w:rPr>
      </w:pPr>
      <w:r w:rsidRPr="004B4415">
        <w:rPr>
          <w:b/>
          <w:bCs/>
        </w:rPr>
        <w:lastRenderedPageBreak/>
        <w:t xml:space="preserve">The following </w:t>
      </w:r>
      <w:r w:rsidR="004B4415">
        <w:rPr>
          <w:b/>
          <w:bCs/>
        </w:rPr>
        <w:t xml:space="preserve">total </w:t>
      </w:r>
      <w:r w:rsidRPr="004B4415">
        <w:rPr>
          <w:b/>
          <w:bCs/>
        </w:rPr>
        <w:t>re</w:t>
      </w:r>
      <w:r w:rsidR="004B4415">
        <w:rPr>
          <w:b/>
          <w:bCs/>
        </w:rPr>
        <w:t>turns</w:t>
      </w:r>
      <w:r w:rsidRPr="004B4415">
        <w:rPr>
          <w:b/>
          <w:bCs/>
        </w:rPr>
        <w:t xml:space="preserve"> </w:t>
      </w:r>
      <w:r w:rsidR="0081288E">
        <w:rPr>
          <w:b/>
          <w:bCs/>
        </w:rPr>
        <w:t xml:space="preserve">across the asset classes </w:t>
      </w:r>
      <w:r w:rsidRPr="004B4415">
        <w:rPr>
          <w:b/>
          <w:bCs/>
        </w:rPr>
        <w:t xml:space="preserve">are as of </w:t>
      </w:r>
      <w:r w:rsidR="003B1467">
        <w:rPr>
          <w:b/>
          <w:bCs/>
        </w:rPr>
        <w:t>3</w:t>
      </w:r>
      <w:r w:rsidR="00396B3C">
        <w:rPr>
          <w:b/>
          <w:bCs/>
        </w:rPr>
        <w:t>0</w:t>
      </w:r>
      <w:r w:rsidR="00396B3C" w:rsidRPr="00396B3C">
        <w:rPr>
          <w:b/>
          <w:bCs/>
          <w:vertAlign w:val="superscript"/>
        </w:rPr>
        <w:t>th</w:t>
      </w:r>
      <w:r w:rsidR="00396B3C">
        <w:rPr>
          <w:b/>
          <w:bCs/>
        </w:rPr>
        <w:t xml:space="preserve"> April</w:t>
      </w:r>
      <w:r w:rsidRPr="004B4415">
        <w:rPr>
          <w:b/>
          <w:bCs/>
        </w:rPr>
        <w:t xml:space="preserve"> 202</w:t>
      </w:r>
      <w:r w:rsidR="00190B5B">
        <w:rPr>
          <w:b/>
          <w:bCs/>
        </w:rPr>
        <w:t>4</w:t>
      </w:r>
      <w:r w:rsidRPr="004B4415">
        <w:rPr>
          <w:b/>
          <w:bCs/>
        </w:rPr>
        <w:t>:</w:t>
      </w:r>
    </w:p>
    <w:p w14:paraId="13295CC7" w14:textId="70D12877" w:rsidR="004104F2" w:rsidRDefault="00D528C0" w:rsidP="00B53288">
      <w:r w:rsidRPr="00D528C0">
        <w:rPr>
          <w:noProof/>
        </w:rPr>
        <w:drawing>
          <wp:inline distT="0" distB="0" distL="0" distR="0" wp14:anchorId="31A5F8E6" wp14:editId="4EDF8A80">
            <wp:extent cx="5410200" cy="1409700"/>
            <wp:effectExtent l="0" t="0" r="0" b="0"/>
            <wp:docPr id="18159884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1409700"/>
                    </a:xfrm>
                    <a:prstGeom prst="rect">
                      <a:avLst/>
                    </a:prstGeom>
                    <a:noFill/>
                    <a:ln>
                      <a:noFill/>
                    </a:ln>
                  </pic:spPr>
                </pic:pic>
              </a:graphicData>
            </a:graphic>
          </wp:inline>
        </w:drawing>
      </w:r>
    </w:p>
    <w:p w14:paraId="549039F8" w14:textId="34879DEA" w:rsidR="00867438" w:rsidRPr="00055F78" w:rsidRDefault="001308C8" w:rsidP="00055F78">
      <w:pPr>
        <w:jc w:val="center"/>
        <w:rPr>
          <w:sz w:val="18"/>
        </w:rPr>
      </w:pPr>
      <w:r w:rsidRPr="00A70A09">
        <w:rPr>
          <w:sz w:val="18"/>
        </w:rPr>
        <w:t xml:space="preserve">Source data: Lonsec as of </w:t>
      </w:r>
      <w:r w:rsidR="00D528C0">
        <w:rPr>
          <w:sz w:val="18"/>
        </w:rPr>
        <w:t>30</w:t>
      </w:r>
      <w:r w:rsidR="00D528C0" w:rsidRPr="00D528C0">
        <w:rPr>
          <w:sz w:val="18"/>
          <w:vertAlign w:val="superscript"/>
        </w:rPr>
        <w:t>th</w:t>
      </w:r>
      <w:r w:rsidR="00D528C0">
        <w:rPr>
          <w:sz w:val="18"/>
        </w:rPr>
        <w:t xml:space="preserve"> April</w:t>
      </w:r>
      <w:r w:rsidR="00784798">
        <w:rPr>
          <w:sz w:val="18"/>
        </w:rPr>
        <w:t xml:space="preserve"> </w:t>
      </w:r>
      <w:r w:rsidR="0005797F">
        <w:rPr>
          <w:sz w:val="18"/>
        </w:rPr>
        <w:t>202</w:t>
      </w:r>
      <w:r w:rsidR="00190B5B">
        <w:rPr>
          <w:sz w:val="18"/>
        </w:rPr>
        <w:t>4</w:t>
      </w:r>
      <w:r w:rsidR="00BA2B8F">
        <w:fldChar w:fldCharType="begin"/>
      </w:r>
      <w:r w:rsidR="00BA2B8F">
        <w:instrText xml:space="preserve"> INCLUDEPICTURE "https://pbs.twimg.com/media/E6JeJH4WYAA_7yS?format=jpg&amp;name=4096x4096" \* MERGEFORMATINET </w:instrText>
      </w:r>
      <w:r w:rsidR="00243ECB">
        <w:fldChar w:fldCharType="separate"/>
      </w:r>
      <w:r w:rsidR="00BA2B8F">
        <w:fldChar w:fldCharType="end"/>
      </w:r>
    </w:p>
    <w:p w14:paraId="1DE3D6DE" w14:textId="4DB73A98" w:rsidR="000C7672" w:rsidRDefault="00A23AF0" w:rsidP="00B53288">
      <w:r>
        <w:t>The developed markets a</w:t>
      </w:r>
      <w:r w:rsidR="00365C86">
        <w:t xml:space="preserve">sset classes </w:t>
      </w:r>
      <w:r w:rsidR="00EF6467">
        <w:t>finished</w:t>
      </w:r>
      <w:r w:rsidR="00CE64CE">
        <w:t xml:space="preserve"> </w:t>
      </w:r>
      <w:r w:rsidR="00396B3C">
        <w:t>down</w:t>
      </w:r>
      <w:r w:rsidR="006078FE">
        <w:t xml:space="preserve"> </w:t>
      </w:r>
      <w:r w:rsidR="00CE64CE">
        <w:t xml:space="preserve">for </w:t>
      </w:r>
      <w:r>
        <w:t>the month</w:t>
      </w:r>
      <w:r w:rsidR="007B57BE">
        <w:t>.</w:t>
      </w:r>
      <w:r w:rsidR="00365C86">
        <w:t xml:space="preserve"> </w:t>
      </w:r>
      <w:r w:rsidR="007F0FC4">
        <w:t xml:space="preserve">The </w:t>
      </w:r>
      <w:r w:rsidR="005F21FA">
        <w:t>AUD/</w:t>
      </w:r>
      <w:r w:rsidR="007F0FC4">
        <w:t>USD f</w:t>
      </w:r>
      <w:r>
        <w:t>inished</w:t>
      </w:r>
      <w:r w:rsidR="00396B3C">
        <w:t xml:space="preserve"> slightly lower</w:t>
      </w:r>
      <w:r w:rsidR="00CE64CE">
        <w:t xml:space="preserve"> as well </w:t>
      </w:r>
      <w:r>
        <w:t>(</w:t>
      </w:r>
      <w:r w:rsidR="00396B3C">
        <w:t>-0.11</w:t>
      </w:r>
      <w:r>
        <w:t>%)</w:t>
      </w:r>
      <w:r w:rsidR="007F0FC4">
        <w:t xml:space="preserve"> in the month which </w:t>
      </w:r>
      <w:r w:rsidR="00396B3C">
        <w:t>benefitted</w:t>
      </w:r>
      <w:r w:rsidR="007F0FC4">
        <w:t xml:space="preserve"> unhedged holdings. </w:t>
      </w:r>
    </w:p>
    <w:p w14:paraId="51DC9C5A" w14:textId="6E4AB9E1" w:rsidR="005D4428" w:rsidRPr="000678F3" w:rsidRDefault="000678F3" w:rsidP="00B53288">
      <w:r w:rsidRPr="000678F3">
        <w:t>With</w:t>
      </w:r>
      <w:r>
        <w:rPr>
          <w:b/>
          <w:bCs/>
        </w:rPr>
        <w:t xml:space="preserve"> reporting season </w:t>
      </w:r>
      <w:r w:rsidR="006078FE">
        <w:rPr>
          <w:b/>
          <w:bCs/>
        </w:rPr>
        <w:t>over in the US and in Australia,</w:t>
      </w:r>
      <w:r w:rsidRPr="000678F3">
        <w:t xml:space="preserve"> </w:t>
      </w:r>
      <w:r w:rsidR="006078FE">
        <w:t xml:space="preserve">investors </w:t>
      </w:r>
      <w:r w:rsidR="00063F3C">
        <w:t>encouraged by the results especially the high number of companies that achieved or exceeded earnings per share guidance.</w:t>
      </w:r>
    </w:p>
    <w:p w14:paraId="4A4DCEFF" w14:textId="693F3308" w:rsidR="001C4340" w:rsidRPr="001C4340" w:rsidRDefault="001C4340" w:rsidP="00B53288">
      <w:pPr>
        <w:rPr>
          <w:b/>
          <w:bCs/>
        </w:rPr>
      </w:pPr>
      <w:r w:rsidRPr="001C4340">
        <w:rPr>
          <w:b/>
          <w:bCs/>
        </w:rPr>
        <w:t>Asset Class Performance</w:t>
      </w:r>
    </w:p>
    <w:p w14:paraId="17777905" w14:textId="6E3EAE85" w:rsidR="008970F9" w:rsidRDefault="008970F9" w:rsidP="00B53288">
      <w:pPr>
        <w:rPr>
          <w:noProof/>
        </w:rPr>
      </w:pPr>
      <w:r w:rsidRPr="008970F9">
        <w:rPr>
          <w:rFonts w:ascii="Calibri" w:hAnsi="Calibri" w:cs="Calibri"/>
          <w:noProof/>
          <w:color w:val="222222"/>
          <w:sz w:val="24"/>
          <w:szCs w:val="24"/>
          <w:shd w:val="clear" w:color="auto" w:fill="FFFFFF"/>
        </w:rPr>
        <w:t xml:space="preserve"> </w:t>
      </w:r>
    </w:p>
    <w:p w14:paraId="5FFD9B16" w14:textId="02E056E5" w:rsidR="00EA4358" w:rsidRDefault="00396B3C" w:rsidP="00201A4D">
      <w:pPr>
        <w:jc w:val="center"/>
      </w:pPr>
      <w:r w:rsidRPr="00396B3C">
        <w:rPr>
          <w:noProof/>
        </w:rPr>
        <w:drawing>
          <wp:inline distT="0" distB="0" distL="0" distR="0" wp14:anchorId="7ED2C995" wp14:editId="0BA64928">
            <wp:extent cx="5731510" cy="3514725"/>
            <wp:effectExtent l="0" t="0" r="0" b="0"/>
            <wp:docPr id="14962329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514725"/>
                    </a:xfrm>
                    <a:prstGeom prst="rect">
                      <a:avLst/>
                    </a:prstGeom>
                    <a:noFill/>
                    <a:ln>
                      <a:noFill/>
                    </a:ln>
                  </pic:spPr>
                </pic:pic>
              </a:graphicData>
            </a:graphic>
          </wp:inline>
        </w:drawing>
      </w:r>
    </w:p>
    <w:p w14:paraId="509920FC" w14:textId="03B0054D" w:rsidR="001F3631" w:rsidRDefault="001F3631" w:rsidP="00A70A09">
      <w:pPr>
        <w:jc w:val="center"/>
        <w:rPr>
          <w:sz w:val="16"/>
          <w:szCs w:val="16"/>
        </w:rPr>
      </w:pPr>
      <w:r w:rsidRPr="001F3631">
        <w:rPr>
          <w:sz w:val="16"/>
          <w:szCs w:val="16"/>
        </w:rPr>
        <w:t xml:space="preserve">Data Source: Lonsec </w:t>
      </w:r>
      <w:r w:rsidR="0062338B">
        <w:rPr>
          <w:sz w:val="16"/>
          <w:szCs w:val="16"/>
        </w:rPr>
        <w:t>as of</w:t>
      </w:r>
      <w:r w:rsidR="000458E9">
        <w:rPr>
          <w:sz w:val="16"/>
          <w:szCs w:val="16"/>
        </w:rPr>
        <w:t xml:space="preserve"> </w:t>
      </w:r>
      <w:r w:rsidR="006C3C9E">
        <w:rPr>
          <w:sz w:val="16"/>
          <w:szCs w:val="16"/>
        </w:rPr>
        <w:t>3</w:t>
      </w:r>
      <w:r w:rsidR="00396B3C">
        <w:rPr>
          <w:sz w:val="16"/>
          <w:szCs w:val="16"/>
        </w:rPr>
        <w:t>0</w:t>
      </w:r>
      <w:r w:rsidR="00396B3C" w:rsidRPr="00396B3C">
        <w:rPr>
          <w:sz w:val="16"/>
          <w:szCs w:val="16"/>
          <w:vertAlign w:val="superscript"/>
        </w:rPr>
        <w:t>th</w:t>
      </w:r>
      <w:r w:rsidR="00396B3C">
        <w:rPr>
          <w:sz w:val="16"/>
          <w:szCs w:val="16"/>
        </w:rPr>
        <w:t xml:space="preserve"> April</w:t>
      </w:r>
      <w:r w:rsidR="00063F3C">
        <w:rPr>
          <w:sz w:val="16"/>
          <w:szCs w:val="16"/>
          <w:vertAlign w:val="superscript"/>
        </w:rPr>
        <w:t xml:space="preserve"> </w:t>
      </w:r>
      <w:r w:rsidR="004E3C80">
        <w:rPr>
          <w:sz w:val="16"/>
          <w:szCs w:val="16"/>
        </w:rPr>
        <w:t>202</w:t>
      </w:r>
      <w:r w:rsidR="00190B5B">
        <w:rPr>
          <w:sz w:val="16"/>
          <w:szCs w:val="16"/>
        </w:rPr>
        <w:t>4</w:t>
      </w:r>
      <w:r w:rsidR="0062338B">
        <w:rPr>
          <w:sz w:val="16"/>
          <w:szCs w:val="16"/>
        </w:rPr>
        <w:t xml:space="preserve"> </w:t>
      </w:r>
      <w:r w:rsidRPr="001F3631">
        <w:rPr>
          <w:sz w:val="16"/>
          <w:szCs w:val="16"/>
        </w:rPr>
        <w:t>&amp; Fox Asset Management</w:t>
      </w:r>
    </w:p>
    <w:p w14:paraId="4F173F3B" w14:textId="77777777" w:rsidR="00E2343E" w:rsidRDefault="00E2343E" w:rsidP="00A70A09">
      <w:pPr>
        <w:jc w:val="center"/>
        <w:rPr>
          <w:sz w:val="16"/>
          <w:szCs w:val="16"/>
        </w:rPr>
      </w:pPr>
    </w:p>
    <w:p w14:paraId="68131F76" w14:textId="2622DB31" w:rsidR="00D72B03" w:rsidRPr="00D72B03" w:rsidRDefault="007B7DEB" w:rsidP="00F6077E">
      <w:pPr>
        <w:rPr>
          <w:b/>
          <w:bCs/>
        </w:rPr>
      </w:pPr>
      <w:r>
        <w:rPr>
          <w:b/>
          <w:bCs/>
        </w:rPr>
        <w:lastRenderedPageBreak/>
        <w:t>In</w:t>
      </w:r>
      <w:r w:rsidRPr="00D72B03">
        <w:rPr>
          <w:b/>
          <w:bCs/>
        </w:rPr>
        <w:t>vestment</w:t>
      </w:r>
      <w:r w:rsidR="00D72B03" w:rsidRPr="00D72B03">
        <w:rPr>
          <w:b/>
          <w:bCs/>
        </w:rPr>
        <w:t xml:space="preserve"> Climate</w:t>
      </w:r>
    </w:p>
    <w:p w14:paraId="1701C39F" w14:textId="79EF0A3B" w:rsidR="000678F3" w:rsidRDefault="004B4415" w:rsidP="001E16AE">
      <w:pPr>
        <w:spacing w:before="120" w:after="120"/>
      </w:pPr>
      <w:r>
        <w:t>T</w:t>
      </w:r>
      <w:r w:rsidR="00016329" w:rsidRPr="006A3FD2">
        <w:t xml:space="preserve">he </w:t>
      </w:r>
      <w:r w:rsidR="00D94036">
        <w:t xml:space="preserve">underlying </w:t>
      </w:r>
      <w:r w:rsidR="00016329" w:rsidRPr="006A3FD2">
        <w:t>investment climate</w:t>
      </w:r>
      <w:r w:rsidR="00016329">
        <w:t xml:space="preserve"> </w:t>
      </w:r>
      <w:r w:rsidR="007C64CC">
        <w:t xml:space="preserve">has </w:t>
      </w:r>
      <w:r w:rsidR="00074A1A">
        <w:t xml:space="preserve">reverted </w:t>
      </w:r>
      <w:r w:rsidR="007C64CC">
        <w:t xml:space="preserve">to </w:t>
      </w:r>
      <w:r w:rsidR="001E16AE">
        <w:rPr>
          <w:b/>
          <w:bCs/>
        </w:rPr>
        <w:t>“</w:t>
      </w:r>
      <w:r w:rsidR="00074A1A">
        <w:rPr>
          <w:b/>
          <w:bCs/>
        </w:rPr>
        <w:t>hold</w:t>
      </w:r>
      <w:r w:rsidR="001E16AE">
        <w:rPr>
          <w:b/>
          <w:bCs/>
        </w:rPr>
        <w:t>”</w:t>
      </w:r>
      <w:r w:rsidR="00574A05">
        <w:t xml:space="preserve"> </w:t>
      </w:r>
      <w:r w:rsidR="007E0186">
        <w:t xml:space="preserve">in the </w:t>
      </w:r>
      <w:r w:rsidR="007E0186" w:rsidRPr="00C40007">
        <w:t xml:space="preserve">short term </w:t>
      </w:r>
      <w:r w:rsidR="0027780B">
        <w:t xml:space="preserve">as investors </w:t>
      </w:r>
      <w:r w:rsidR="00074A1A">
        <w:t>wait for the interest rate markets to settle. T</w:t>
      </w:r>
      <w:r w:rsidR="00B02125">
        <w:t xml:space="preserve">he </w:t>
      </w:r>
      <w:r w:rsidR="00074A1A">
        <w:t>soft-landing</w:t>
      </w:r>
      <w:r w:rsidR="00B02125">
        <w:t xml:space="preserve"> </w:t>
      </w:r>
      <w:r w:rsidR="00074A1A">
        <w:t xml:space="preserve">expectations </w:t>
      </w:r>
      <w:r w:rsidR="00B02125">
        <w:t>and economic recovery</w:t>
      </w:r>
      <w:r w:rsidR="00074A1A">
        <w:t xml:space="preserve"> are still supported</w:t>
      </w:r>
      <w:r w:rsidR="00B02125">
        <w:t xml:space="preserve"> despite the </w:t>
      </w:r>
      <w:r w:rsidR="002627B9">
        <w:t xml:space="preserve">European and </w:t>
      </w:r>
      <w:r w:rsidR="001E16AE">
        <w:t xml:space="preserve">middle east conflict. </w:t>
      </w:r>
      <w:r w:rsidR="003B1467">
        <w:t xml:space="preserve">The recent </w:t>
      </w:r>
      <w:r w:rsidR="00074A1A">
        <w:t xml:space="preserve">year-on-year </w:t>
      </w:r>
      <w:r w:rsidR="003B1467">
        <w:t xml:space="preserve">inflation numbers </w:t>
      </w:r>
      <w:r w:rsidR="00074A1A">
        <w:t xml:space="preserve">are supportive of the </w:t>
      </w:r>
      <w:r w:rsidR="00984AC0">
        <w:t>longer-term</w:t>
      </w:r>
      <w:r w:rsidR="00074A1A">
        <w:t xml:space="preserve"> expectations however, the month-on-month numbers of </w:t>
      </w:r>
      <w:r w:rsidR="00984AC0">
        <w:t>(+</w:t>
      </w:r>
      <w:r w:rsidR="00074A1A">
        <w:t>1</w:t>
      </w:r>
      <w:r w:rsidR="00984AC0">
        <w:t>.0</w:t>
      </w:r>
      <w:r w:rsidR="00074A1A">
        <w:t>%</w:t>
      </w:r>
      <w:r w:rsidR="00984AC0">
        <w:t>)</w:t>
      </w:r>
      <w:r w:rsidR="00074A1A">
        <w:t xml:space="preserve"> in the first quarter </w:t>
      </w:r>
      <w:r w:rsidR="003B1467">
        <w:t xml:space="preserve">may just temper the risk appetite given inflation is holding its ground. Future </w:t>
      </w:r>
      <w:r w:rsidR="003B1467" w:rsidRPr="003B1467">
        <w:rPr>
          <w:b/>
          <w:bCs/>
        </w:rPr>
        <w:t>Central Bank easing plans may need to be extended</w:t>
      </w:r>
      <w:r w:rsidR="003B1467">
        <w:t xml:space="preserve"> until later in the year.</w:t>
      </w:r>
    </w:p>
    <w:p w14:paraId="0AEB38DD" w14:textId="79364D3E" w:rsidR="001E16AE" w:rsidRPr="003B1467" w:rsidRDefault="001E16AE" w:rsidP="001E16AE">
      <w:pPr>
        <w:spacing w:before="120" w:after="120"/>
      </w:pPr>
      <w:r>
        <w:t xml:space="preserve">The risk is that the conflict </w:t>
      </w:r>
      <w:r w:rsidR="00212DCC">
        <w:t xml:space="preserve">in the middle east </w:t>
      </w:r>
      <w:r>
        <w:t xml:space="preserve">may escalate and involve neighbours which could then inflame the situation. While this situation continues, investors will be </w:t>
      </w:r>
      <w:r w:rsidR="007C64CC">
        <w:t>cautious</w:t>
      </w:r>
      <w:r>
        <w:t xml:space="preserve"> </w:t>
      </w:r>
      <w:r w:rsidR="00B02125">
        <w:t xml:space="preserve">around exposure to </w:t>
      </w:r>
      <w:r w:rsidR="007145A7">
        <w:t>Europe, oil,</w:t>
      </w:r>
      <w:r w:rsidR="00B02125">
        <w:t xml:space="preserve"> and gas, </w:t>
      </w:r>
      <w:r>
        <w:t>however an</w:t>
      </w:r>
      <w:r w:rsidR="003B1467">
        <w:t>y</w:t>
      </w:r>
      <w:r>
        <w:t xml:space="preserve"> fall in </w:t>
      </w:r>
      <w:r w:rsidR="007C64CC">
        <w:t xml:space="preserve">interest rates will spur buying in </w:t>
      </w:r>
      <w:r>
        <w:t xml:space="preserve">asset </w:t>
      </w:r>
      <w:r w:rsidR="007C64CC">
        <w:t>classes that have been oversold in recent months (property</w:t>
      </w:r>
      <w:r w:rsidR="003B1467">
        <w:t xml:space="preserve"> -</w:t>
      </w:r>
      <w:r w:rsidR="003B1467">
        <w:rPr>
          <w:b/>
          <w:bCs/>
        </w:rPr>
        <w:t xml:space="preserve"> </w:t>
      </w:r>
      <w:r w:rsidR="003B1467" w:rsidRPr="003B1467">
        <w:t>this may prove to be premature as property valuations come June 30 may be impacted).</w:t>
      </w:r>
    </w:p>
    <w:p w14:paraId="4D2D3182" w14:textId="48C0FAA2" w:rsidR="00201A4D" w:rsidRDefault="0089672B" w:rsidP="001E16AE">
      <w:pPr>
        <w:spacing w:before="120" w:after="120"/>
      </w:pPr>
      <w:r>
        <w:t xml:space="preserve">Consumption </w:t>
      </w:r>
      <w:r w:rsidR="00B04D6E">
        <w:t>is s</w:t>
      </w:r>
      <w:r w:rsidR="00074A1A">
        <w:t>lowing</w:t>
      </w:r>
      <w:r w:rsidR="00B04D6E">
        <w:t xml:space="preserve"> </w:t>
      </w:r>
      <w:r w:rsidR="003B1467">
        <w:t xml:space="preserve">with retail sales in Australia </w:t>
      </w:r>
      <w:r w:rsidR="00074A1A">
        <w:t>falling</w:t>
      </w:r>
      <w:r w:rsidR="003B1467">
        <w:t xml:space="preserve"> by </w:t>
      </w:r>
      <w:r w:rsidR="00984AC0">
        <w:t>(</w:t>
      </w:r>
      <w:r w:rsidR="00074A1A">
        <w:t>-0.4%</w:t>
      </w:r>
      <w:r w:rsidR="00984AC0">
        <w:t>)</w:t>
      </w:r>
      <w:r w:rsidR="003B1467">
        <w:t xml:space="preserve"> in </w:t>
      </w:r>
      <w:r w:rsidR="00074A1A">
        <w:t>March</w:t>
      </w:r>
      <w:r w:rsidR="003B1467">
        <w:t xml:space="preserve"> 2024 </w:t>
      </w:r>
      <w:r w:rsidR="00B04D6E">
        <w:t xml:space="preserve">which </w:t>
      </w:r>
      <w:r w:rsidR="00B02125">
        <w:t xml:space="preserve">is </w:t>
      </w:r>
      <w:r w:rsidR="00074A1A">
        <w:t xml:space="preserve">impacting company profit expectations </w:t>
      </w:r>
      <w:r>
        <w:t>in the short-term</w:t>
      </w:r>
      <w:r w:rsidR="00984AC0">
        <w:t>.</w:t>
      </w:r>
      <w:r w:rsidR="00D74275">
        <w:t xml:space="preserve"> </w:t>
      </w:r>
    </w:p>
    <w:p w14:paraId="6B8750FC" w14:textId="7865B5F0" w:rsidR="007C64CC" w:rsidRDefault="00BE0AFA" w:rsidP="00F6077E">
      <w:r>
        <w:t xml:space="preserve">The </w:t>
      </w:r>
      <w:r w:rsidRPr="00DD3CC2">
        <w:rPr>
          <w:b/>
          <w:bCs/>
        </w:rPr>
        <w:t>medium-term view remains</w:t>
      </w:r>
      <w:r w:rsidRPr="00BE0AFA">
        <w:rPr>
          <w:b/>
          <w:bCs/>
        </w:rPr>
        <w:t xml:space="preserve"> positive</w:t>
      </w:r>
      <w:r>
        <w:t xml:space="preserve"> for returns overall although headwinds </w:t>
      </w:r>
      <w:r w:rsidR="00700656">
        <w:t>will prevail</w:t>
      </w:r>
      <w:r w:rsidR="007C64CC">
        <w:t xml:space="preserve">, now that the US Fed has effectively </w:t>
      </w:r>
      <w:r w:rsidR="007C64CC" w:rsidRPr="007C64CC">
        <w:rPr>
          <w:b/>
          <w:bCs/>
        </w:rPr>
        <w:t>signalled a pivot for their interest rates</w:t>
      </w:r>
      <w:r w:rsidR="007C64CC">
        <w:t xml:space="preserve">, this is a strong indicator for </w:t>
      </w:r>
      <w:r w:rsidR="00296984">
        <w:t xml:space="preserve">interest rate </w:t>
      </w:r>
      <w:r w:rsidR="00F42D58">
        <w:t>expectations</w:t>
      </w:r>
      <w:r w:rsidR="007C64CC">
        <w:t xml:space="preserve"> and clear a path </w:t>
      </w:r>
      <w:r w:rsidR="000678F3">
        <w:t xml:space="preserve">going </w:t>
      </w:r>
      <w:r w:rsidR="007C64CC">
        <w:t>forward for investors.</w:t>
      </w:r>
    </w:p>
    <w:p w14:paraId="024D1376" w14:textId="1E87F30A" w:rsidR="00524F93" w:rsidRDefault="00524F93" w:rsidP="00524F93">
      <w:r w:rsidRPr="00524F93">
        <w:rPr>
          <w:b/>
          <w:bCs/>
        </w:rPr>
        <w:t xml:space="preserve">Longer term </w:t>
      </w:r>
      <w:r w:rsidR="0089672B">
        <w:rPr>
          <w:b/>
          <w:bCs/>
        </w:rPr>
        <w:t>investors</w:t>
      </w:r>
      <w:r w:rsidRPr="00524F93">
        <w:rPr>
          <w:b/>
          <w:bCs/>
        </w:rPr>
        <w:t xml:space="preserve"> </w:t>
      </w:r>
      <w:r w:rsidR="007C64CC">
        <w:rPr>
          <w:b/>
          <w:bCs/>
        </w:rPr>
        <w:t xml:space="preserve">are </w:t>
      </w:r>
      <w:r w:rsidRPr="009D5414">
        <w:rPr>
          <w:b/>
          <w:bCs/>
        </w:rPr>
        <w:t>optimistic</w:t>
      </w:r>
      <w:r>
        <w:t xml:space="preserve"> for a goldilocks period ahead. Global Central Banks continue to indicate a resolve to get inflation under control however, the economic data is showing signs of </w:t>
      </w:r>
      <w:r w:rsidR="005F6840">
        <w:t xml:space="preserve">an </w:t>
      </w:r>
      <w:r w:rsidR="004E1C4A">
        <w:t>easing</w:t>
      </w:r>
      <w:r>
        <w:t xml:space="preserve"> </w:t>
      </w:r>
      <w:r w:rsidR="005F6840">
        <w:t xml:space="preserve">in </w:t>
      </w:r>
      <w:r>
        <w:t>inflation</w:t>
      </w:r>
      <w:r w:rsidR="007C64CC">
        <w:t xml:space="preserve"> and every indication is for future easing in monetary policy expectations for the latter part of 2024. Remember </w:t>
      </w:r>
      <w:r w:rsidR="007C64CC" w:rsidRPr="007C64CC">
        <w:rPr>
          <w:b/>
          <w:bCs/>
        </w:rPr>
        <w:t>markets are forward looking</w:t>
      </w:r>
      <w:r w:rsidR="007C64CC">
        <w:t xml:space="preserve"> so the support now is reflecting the expectations for conditions in </w:t>
      </w:r>
      <w:r w:rsidR="00984AC0">
        <w:t>January</w:t>
      </w:r>
      <w:r w:rsidR="007C64CC">
        <w:t xml:space="preserve"> 202</w:t>
      </w:r>
      <w:r w:rsidR="00984AC0">
        <w:t>5</w:t>
      </w:r>
      <w:r w:rsidR="007C64CC">
        <w:t>.</w:t>
      </w:r>
      <w:r>
        <w:t xml:space="preserve"> </w:t>
      </w:r>
    </w:p>
    <w:p w14:paraId="6F8EECA2" w14:textId="084593D4" w:rsidR="00025089" w:rsidRPr="00025089" w:rsidRDefault="00025089" w:rsidP="008614EE">
      <w:pPr>
        <w:spacing w:before="120" w:after="120" w:line="240" w:lineRule="auto"/>
        <w:rPr>
          <w:b/>
          <w:bCs/>
        </w:rPr>
      </w:pPr>
      <w:r w:rsidRPr="00025089">
        <w:rPr>
          <w:b/>
          <w:bCs/>
        </w:rPr>
        <w:t xml:space="preserve">The following commentary is based on month-end closing prices as </w:t>
      </w:r>
      <w:r w:rsidR="00E97818" w:rsidRPr="00025089">
        <w:rPr>
          <w:b/>
          <w:bCs/>
        </w:rPr>
        <w:t>of</w:t>
      </w:r>
      <w:r w:rsidRPr="00025089">
        <w:rPr>
          <w:b/>
          <w:bCs/>
        </w:rPr>
        <w:t xml:space="preserve"> </w:t>
      </w:r>
      <w:r w:rsidR="00FA1935">
        <w:rPr>
          <w:b/>
          <w:bCs/>
        </w:rPr>
        <w:t>3</w:t>
      </w:r>
      <w:r w:rsidR="00F7687B">
        <w:rPr>
          <w:b/>
          <w:bCs/>
        </w:rPr>
        <w:t>0</w:t>
      </w:r>
      <w:r w:rsidR="00F7687B" w:rsidRPr="00F7687B">
        <w:rPr>
          <w:b/>
          <w:bCs/>
          <w:vertAlign w:val="superscript"/>
        </w:rPr>
        <w:t>th</w:t>
      </w:r>
      <w:r w:rsidR="00F7687B">
        <w:rPr>
          <w:b/>
          <w:bCs/>
        </w:rPr>
        <w:t xml:space="preserve"> April</w:t>
      </w:r>
      <w:r w:rsidRPr="00025089">
        <w:rPr>
          <w:b/>
          <w:bCs/>
        </w:rPr>
        <w:t xml:space="preserve"> </w:t>
      </w:r>
      <w:r w:rsidR="002F0E91" w:rsidRPr="00025089">
        <w:rPr>
          <w:b/>
          <w:bCs/>
        </w:rPr>
        <w:t>202</w:t>
      </w:r>
      <w:r w:rsidR="00FA390E">
        <w:rPr>
          <w:b/>
          <w:bCs/>
        </w:rPr>
        <w:t>4</w:t>
      </w:r>
      <w:r w:rsidR="00181027">
        <w:rPr>
          <w:b/>
          <w:bCs/>
        </w:rPr>
        <w:t>:</w:t>
      </w:r>
      <w:r w:rsidRPr="00025089">
        <w:rPr>
          <w:b/>
          <w:bCs/>
        </w:rPr>
        <w:t xml:space="preserve"> </w:t>
      </w:r>
    </w:p>
    <w:p w14:paraId="6A0D8148" w14:textId="3D403DE1" w:rsidR="00B02125" w:rsidRDefault="007B239A" w:rsidP="009E7EF6">
      <w:pPr>
        <w:spacing w:before="120" w:after="120" w:line="240" w:lineRule="auto"/>
      </w:pPr>
      <w:r w:rsidRPr="00F90325">
        <w:t xml:space="preserve">Global </w:t>
      </w:r>
      <w:r w:rsidR="00F82AE9">
        <w:t xml:space="preserve">markets </w:t>
      </w:r>
      <w:r w:rsidR="0054112A">
        <w:t>re</w:t>
      </w:r>
      <w:r w:rsidR="00984AC0">
        <w:t xml:space="preserve">treated </w:t>
      </w:r>
      <w:r w:rsidR="00FA390E">
        <w:t xml:space="preserve">over </w:t>
      </w:r>
      <w:r w:rsidR="00984AC0">
        <w:t>April</w:t>
      </w:r>
      <w:r w:rsidR="00FA390E">
        <w:t xml:space="preserve"> as </w:t>
      </w:r>
      <w:r w:rsidR="005C178D">
        <w:t xml:space="preserve">global </w:t>
      </w:r>
      <w:r w:rsidR="00B02125">
        <w:t xml:space="preserve">share markets </w:t>
      </w:r>
      <w:r w:rsidR="00984AC0">
        <w:t>pulled back</w:t>
      </w:r>
      <w:r w:rsidR="00B02125">
        <w:t xml:space="preserve"> and debt markets </w:t>
      </w:r>
      <w:r w:rsidR="00984AC0">
        <w:t>were sold off</w:t>
      </w:r>
      <w:r w:rsidR="00B02125">
        <w:t>. T</w:t>
      </w:r>
      <w:r w:rsidR="00FA390E">
        <w:t xml:space="preserve">he </w:t>
      </w:r>
      <w:r w:rsidR="00B02125">
        <w:t xml:space="preserve">property market </w:t>
      </w:r>
      <w:r w:rsidR="00984AC0">
        <w:t xml:space="preserve">also took a tumble concerned about interest rates and the </w:t>
      </w:r>
      <w:r w:rsidR="00FA390E">
        <w:t xml:space="preserve">Chinese property </w:t>
      </w:r>
      <w:r w:rsidR="00984AC0">
        <w:t xml:space="preserve">market overshadowing </w:t>
      </w:r>
      <w:r w:rsidR="008261BB">
        <w:t xml:space="preserve">valuations and </w:t>
      </w:r>
      <w:r w:rsidR="00FA390E">
        <w:t>liquidity issues</w:t>
      </w:r>
      <w:r w:rsidR="008261BB">
        <w:t xml:space="preserve">. </w:t>
      </w:r>
    </w:p>
    <w:p w14:paraId="008F3DBF" w14:textId="7A7B4A0C" w:rsidR="00C96DD8" w:rsidRDefault="00C96DD8" w:rsidP="009E7EF6">
      <w:pPr>
        <w:spacing w:before="120" w:after="120" w:line="240" w:lineRule="auto"/>
      </w:pPr>
      <w:r>
        <w:t>I</w:t>
      </w:r>
      <w:r w:rsidRPr="00C96DD8">
        <w:t xml:space="preserve">nfrastructure companies </w:t>
      </w:r>
      <w:r w:rsidR="008261BB">
        <w:t xml:space="preserve">fell slightly however, they </w:t>
      </w:r>
      <w:r w:rsidRPr="00C96DD8">
        <w:t xml:space="preserve">are </w:t>
      </w:r>
      <w:r w:rsidR="00A3418C">
        <w:t>in a b</w:t>
      </w:r>
      <w:r w:rsidR="00A3418C" w:rsidRPr="00C96DD8">
        <w:t>etter</w:t>
      </w:r>
      <w:r w:rsidRPr="00C96DD8">
        <w:t xml:space="preserve"> position to retain margins compared to most general market equities, given that not only interest costs, but also other operating cost items, </w:t>
      </w:r>
      <w:r w:rsidR="00A3418C">
        <w:t xml:space="preserve">may be </w:t>
      </w:r>
      <w:r w:rsidRPr="00C96DD8">
        <w:t>considered “pass-through” within a regulatory construct</w:t>
      </w:r>
      <w:r>
        <w:t xml:space="preserve"> so costs simply flow through to users</w:t>
      </w:r>
      <w:r w:rsidRPr="00C96DD8">
        <w:t>.</w:t>
      </w:r>
      <w:r>
        <w:t xml:space="preserve"> </w:t>
      </w:r>
    </w:p>
    <w:p w14:paraId="4D1ADF38" w14:textId="37FC9F8F" w:rsidR="00BD000B" w:rsidRDefault="00816F91" w:rsidP="009E7EF6">
      <w:pPr>
        <w:spacing w:before="120" w:after="120" w:line="240" w:lineRule="auto"/>
      </w:pPr>
      <w:r>
        <w:t>The changing economic conditions along with interest rates</w:t>
      </w:r>
      <w:r w:rsidR="00FA390E">
        <w:t xml:space="preserve"> </w:t>
      </w:r>
      <w:r w:rsidR="008261BB">
        <w:t>soaring</w:t>
      </w:r>
      <w:r w:rsidR="00FA390E">
        <w:t xml:space="preserve"> </w:t>
      </w:r>
      <w:r w:rsidR="008261BB">
        <w:t>(high</w:t>
      </w:r>
      <w:r w:rsidR="00FA390E">
        <w:t>er yield levels</w:t>
      </w:r>
      <w:r w:rsidR="008261BB">
        <w:t>)</w:t>
      </w:r>
      <w:r>
        <w:t xml:space="preserve"> </w:t>
      </w:r>
      <w:r w:rsidR="00C96DD8">
        <w:t xml:space="preserve">dented </w:t>
      </w:r>
      <w:r>
        <w:t xml:space="preserve">investor confidence. </w:t>
      </w:r>
      <w:r w:rsidR="00F3465F">
        <w:t>T</w:t>
      </w:r>
      <w:r w:rsidR="00BC034A">
        <w:t>he</w:t>
      </w:r>
      <w:r w:rsidR="00D76073">
        <w:t xml:space="preserve"> situation in</w:t>
      </w:r>
      <w:r w:rsidR="00F3465F">
        <w:t xml:space="preserve"> Russia/Ukraine </w:t>
      </w:r>
      <w:r w:rsidR="00BC034A">
        <w:t>conflict</w:t>
      </w:r>
      <w:r w:rsidR="00D76073">
        <w:t xml:space="preserve"> remains unchanged </w:t>
      </w:r>
      <w:r w:rsidR="00403EC7">
        <w:t xml:space="preserve">however </w:t>
      </w:r>
      <w:r w:rsidR="00802E86">
        <w:t>the latest conflict between Israel and H</w:t>
      </w:r>
      <w:r w:rsidR="008F5026">
        <w:t>a</w:t>
      </w:r>
      <w:r w:rsidR="00802E86">
        <w:t xml:space="preserve">mas </w:t>
      </w:r>
      <w:r w:rsidR="005200E9">
        <w:t>has prompted investors</w:t>
      </w:r>
      <w:r>
        <w:t xml:space="preserve"> to avoid that region</w:t>
      </w:r>
      <w:r w:rsidR="005200E9">
        <w:t xml:space="preserve">. </w:t>
      </w:r>
      <w:r w:rsidR="00403EC7">
        <w:t>U</w:t>
      </w:r>
      <w:r w:rsidR="00B700A9">
        <w:t>nfortunately,</w:t>
      </w:r>
      <w:r w:rsidR="00F24335">
        <w:t xml:space="preserve"> a resolution </w:t>
      </w:r>
      <w:r w:rsidR="0025751D">
        <w:t xml:space="preserve">to the </w:t>
      </w:r>
      <w:r w:rsidR="005200E9">
        <w:t xml:space="preserve">regional conflict </w:t>
      </w:r>
      <w:r w:rsidR="00B700A9">
        <w:t>is</w:t>
      </w:r>
      <w:r w:rsidR="00F24335">
        <w:t xml:space="preserve"> a way off </w:t>
      </w:r>
      <w:r w:rsidR="00F86040">
        <w:t>currently</w:t>
      </w:r>
      <w:r w:rsidR="00D7423A">
        <w:t xml:space="preserve"> however, the underlying economies </w:t>
      </w:r>
      <w:r w:rsidR="005200E9">
        <w:t xml:space="preserve">elsewhere </w:t>
      </w:r>
      <w:r w:rsidR="00D7423A">
        <w:t xml:space="preserve">are emerging </w:t>
      </w:r>
      <w:r w:rsidR="005200E9">
        <w:t xml:space="preserve">with a more growth orientated momentum </w:t>
      </w:r>
      <w:r w:rsidR="00D7423A">
        <w:t xml:space="preserve">after such </w:t>
      </w:r>
      <w:r w:rsidR="00216D19">
        <w:t>an extended period</w:t>
      </w:r>
      <w:r w:rsidR="00D7423A">
        <w:t xml:space="preserve"> of uncertainty.</w:t>
      </w:r>
    </w:p>
    <w:p w14:paraId="14CE6A8A" w14:textId="0CCAB2F4" w:rsidR="00CC2CB7" w:rsidRDefault="00E52572" w:rsidP="00CC2CB7">
      <w:pPr>
        <w:spacing w:before="0" w:after="0"/>
      </w:pPr>
      <w:bookmarkStart w:id="1" w:name="_Hlk69241500"/>
      <w:r>
        <w:lastRenderedPageBreak/>
        <w:t xml:space="preserve">As mentioned, the Fed </w:t>
      </w:r>
      <w:r w:rsidR="005200E9">
        <w:t xml:space="preserve">left the </w:t>
      </w:r>
      <w:r w:rsidR="00677BFA">
        <w:t xml:space="preserve">target cash rates </w:t>
      </w:r>
      <w:r w:rsidR="005200E9">
        <w:t>at</w:t>
      </w:r>
      <w:r>
        <w:t xml:space="preserve"> </w:t>
      </w:r>
      <w:r w:rsidR="00D53B5C" w:rsidRPr="00220A49">
        <w:rPr>
          <w:b/>
          <w:bCs/>
        </w:rPr>
        <w:t>5</w:t>
      </w:r>
      <w:r w:rsidR="00C50B00" w:rsidRPr="00220A49">
        <w:rPr>
          <w:b/>
          <w:bCs/>
        </w:rPr>
        <w:t>.</w:t>
      </w:r>
      <w:r w:rsidR="006D7EB3" w:rsidRPr="00220A49">
        <w:rPr>
          <w:b/>
          <w:bCs/>
        </w:rPr>
        <w:t>25</w:t>
      </w:r>
      <w:r w:rsidR="00257621" w:rsidRPr="00220A49">
        <w:rPr>
          <w:b/>
          <w:bCs/>
        </w:rPr>
        <w:t>%</w:t>
      </w:r>
      <w:r w:rsidR="00C50B00" w:rsidRPr="00220A49">
        <w:rPr>
          <w:b/>
          <w:bCs/>
        </w:rPr>
        <w:t xml:space="preserve"> </w:t>
      </w:r>
      <w:r w:rsidRPr="00220A49">
        <w:rPr>
          <w:b/>
          <w:bCs/>
        </w:rPr>
        <w:t>-</w:t>
      </w:r>
      <w:r w:rsidR="00C50B00" w:rsidRPr="00220A49">
        <w:rPr>
          <w:b/>
          <w:bCs/>
        </w:rPr>
        <w:t xml:space="preserve"> </w:t>
      </w:r>
      <w:r w:rsidR="00084D8F" w:rsidRPr="00220A49">
        <w:rPr>
          <w:b/>
          <w:bCs/>
        </w:rPr>
        <w:t>5</w:t>
      </w:r>
      <w:r w:rsidR="00D53B5C" w:rsidRPr="00220A49">
        <w:rPr>
          <w:b/>
          <w:bCs/>
        </w:rPr>
        <w:t>.</w:t>
      </w:r>
      <w:r w:rsidR="00C50B00" w:rsidRPr="00220A49">
        <w:rPr>
          <w:b/>
          <w:bCs/>
        </w:rPr>
        <w:t>5</w:t>
      </w:r>
      <w:r w:rsidR="006D7EB3" w:rsidRPr="00220A49">
        <w:rPr>
          <w:b/>
          <w:bCs/>
        </w:rPr>
        <w:t>0</w:t>
      </w:r>
      <w:r w:rsidRPr="00220A49">
        <w:rPr>
          <w:b/>
          <w:bCs/>
        </w:rPr>
        <w:t>%</w:t>
      </w:r>
      <w:r>
        <w:t xml:space="preserve"> </w:t>
      </w:r>
      <w:r w:rsidR="0008740E">
        <w:t>on</w:t>
      </w:r>
      <w:r w:rsidR="00C50B00">
        <w:t xml:space="preserve"> the </w:t>
      </w:r>
      <w:r w:rsidR="00F7687B">
        <w:t>1</w:t>
      </w:r>
      <w:r w:rsidR="00F7687B" w:rsidRPr="00F7687B">
        <w:rPr>
          <w:vertAlign w:val="superscript"/>
        </w:rPr>
        <w:t>st</w:t>
      </w:r>
      <w:r w:rsidR="00F7687B">
        <w:t xml:space="preserve"> </w:t>
      </w:r>
      <w:r w:rsidR="0054112A" w:rsidRPr="0054112A">
        <w:rPr>
          <w:vertAlign w:val="superscript"/>
        </w:rPr>
        <w:t>of</w:t>
      </w:r>
      <w:r w:rsidR="0054112A">
        <w:t xml:space="preserve"> M</w:t>
      </w:r>
      <w:r w:rsidR="00F7687B">
        <w:t>ay</w:t>
      </w:r>
      <w:r w:rsidR="00A672C2">
        <w:t xml:space="preserve"> 2</w:t>
      </w:r>
      <w:r>
        <w:t>02</w:t>
      </w:r>
      <w:r w:rsidR="00FC10EC">
        <w:t>4</w:t>
      </w:r>
      <w:r>
        <w:t xml:space="preserve"> FOMC meeting</w:t>
      </w:r>
      <w:r w:rsidR="00CC2CB7">
        <w:t>:</w:t>
      </w:r>
    </w:p>
    <w:p w14:paraId="57E88ACE" w14:textId="00D25718" w:rsidR="00F7687B" w:rsidRPr="00CC2CB7" w:rsidRDefault="00CC2CB7" w:rsidP="00F7687B">
      <w:pPr>
        <w:spacing w:before="0" w:after="0"/>
        <w:ind w:left="720"/>
        <w:rPr>
          <w:i/>
          <w:iCs/>
        </w:rPr>
      </w:pPr>
      <w:r w:rsidRPr="00CC2CB7">
        <w:rPr>
          <w:i/>
          <w:iCs/>
        </w:rPr>
        <w:t>“</w:t>
      </w:r>
      <w:r w:rsidR="00F7687B" w:rsidRPr="00F7687B">
        <w:rPr>
          <w:i/>
          <w:iCs/>
        </w:rPr>
        <w:t xml:space="preserve">In considering any adjustments to the target range for the federal funds rate, the Committee will carefully assess incoming data, the evolving outlook, and the balance of risks. The Committee does not expect it will be appropriate to reduce the target range until it has gained greater confidence that inflation is moving sustainably toward 2 percent. In addition, the Committee will continue reducing its holdings of </w:t>
      </w:r>
      <w:r w:rsidR="00F7687B" w:rsidRPr="00F7687B">
        <w:rPr>
          <w:b/>
          <w:bCs/>
          <w:i/>
          <w:iCs/>
        </w:rPr>
        <w:t>Treasury securities and agency debt and agency mortgage</w:t>
      </w:r>
      <w:r w:rsidR="00F7687B" w:rsidRPr="00F7687B">
        <w:rPr>
          <w:rFonts w:ascii="Cambria Math" w:hAnsi="Cambria Math" w:cs="Cambria Math"/>
          <w:b/>
          <w:bCs/>
          <w:i/>
          <w:iCs/>
        </w:rPr>
        <w:t>‑</w:t>
      </w:r>
      <w:r w:rsidR="00F7687B" w:rsidRPr="00F7687B">
        <w:rPr>
          <w:b/>
          <w:bCs/>
          <w:i/>
          <w:iCs/>
        </w:rPr>
        <w:t>backed securities</w:t>
      </w:r>
      <w:r w:rsidR="00F7687B" w:rsidRPr="00F7687B">
        <w:rPr>
          <w:i/>
          <w:iCs/>
        </w:rPr>
        <w:t xml:space="preserve">. Beginning in June, the Committee will slow the pace of decline of its securities holdings by reducing the monthly redemption cap on Treasury securities from </w:t>
      </w:r>
      <w:r w:rsidR="00F7687B" w:rsidRPr="00F7687B">
        <w:rPr>
          <w:b/>
          <w:bCs/>
          <w:i/>
          <w:iCs/>
        </w:rPr>
        <w:t>$60 billion to $25 billion</w:t>
      </w:r>
      <w:r w:rsidR="00F7687B" w:rsidRPr="00F7687B">
        <w:rPr>
          <w:i/>
          <w:iCs/>
        </w:rPr>
        <w:t>. The Committee will maintain the monthly redemption cap on agency debt and agency mortgage</w:t>
      </w:r>
      <w:r w:rsidR="00F7687B" w:rsidRPr="00F7687B">
        <w:rPr>
          <w:rFonts w:ascii="Cambria Math" w:hAnsi="Cambria Math" w:cs="Cambria Math"/>
          <w:i/>
          <w:iCs/>
        </w:rPr>
        <w:t>‑</w:t>
      </w:r>
      <w:r w:rsidR="00F7687B" w:rsidRPr="00F7687B">
        <w:rPr>
          <w:i/>
          <w:iCs/>
        </w:rPr>
        <w:t xml:space="preserve">backed securities at </w:t>
      </w:r>
      <w:r w:rsidR="00F7687B" w:rsidRPr="00F7687B">
        <w:rPr>
          <w:b/>
          <w:bCs/>
          <w:i/>
          <w:iCs/>
        </w:rPr>
        <w:t xml:space="preserve">$35 billion and will reinvest any principal payments </w:t>
      </w:r>
      <w:proofErr w:type="gramStart"/>
      <w:r w:rsidR="00F7687B" w:rsidRPr="00F7687B">
        <w:rPr>
          <w:b/>
          <w:bCs/>
          <w:i/>
          <w:iCs/>
        </w:rPr>
        <w:t>in excess of</w:t>
      </w:r>
      <w:proofErr w:type="gramEnd"/>
      <w:r w:rsidR="00F7687B" w:rsidRPr="00F7687B">
        <w:rPr>
          <w:b/>
          <w:bCs/>
          <w:i/>
          <w:iCs/>
        </w:rPr>
        <w:t xml:space="preserve"> this cap</w:t>
      </w:r>
      <w:r w:rsidR="00F7687B" w:rsidRPr="00F7687B">
        <w:rPr>
          <w:i/>
          <w:iCs/>
        </w:rPr>
        <w:t xml:space="preserve"> into Treasury securities. The Committee is strongly committed to returning inflation to its 2 percent objective.</w:t>
      </w:r>
    </w:p>
    <w:p w14:paraId="0462C83D" w14:textId="4B79406C" w:rsidR="00A672C2" w:rsidRPr="00CC2CB7" w:rsidRDefault="00CC2CB7" w:rsidP="00FC10EC">
      <w:pPr>
        <w:spacing w:before="0" w:after="0"/>
        <w:ind w:left="720"/>
        <w:rPr>
          <w:rFonts w:ascii="Calibri" w:hAnsi="Calibri" w:cs="Calibri"/>
          <w:i/>
          <w:iCs/>
          <w:color w:val="222222"/>
          <w:sz w:val="24"/>
          <w:szCs w:val="24"/>
          <w:shd w:val="clear" w:color="auto" w:fill="FFFFFF"/>
        </w:rPr>
      </w:pPr>
      <w:r w:rsidRPr="00CC2CB7">
        <w:rPr>
          <w:i/>
          <w:iCs/>
        </w:rPr>
        <w:t xml:space="preserve">(Source: Federal Reserve Press Release </w:t>
      </w:r>
      <w:r w:rsidR="0054112A">
        <w:rPr>
          <w:i/>
          <w:iCs/>
        </w:rPr>
        <w:t>Ma</w:t>
      </w:r>
      <w:r w:rsidR="00F7687B">
        <w:rPr>
          <w:i/>
          <w:iCs/>
        </w:rPr>
        <w:t>y</w:t>
      </w:r>
      <w:r w:rsidRPr="00CC2CB7">
        <w:rPr>
          <w:i/>
          <w:iCs/>
        </w:rPr>
        <w:t xml:space="preserve"> </w:t>
      </w:r>
      <w:r w:rsidR="00F7687B">
        <w:rPr>
          <w:i/>
          <w:iCs/>
        </w:rPr>
        <w:t>1</w:t>
      </w:r>
      <w:r w:rsidRPr="00CC2CB7">
        <w:rPr>
          <w:i/>
          <w:iCs/>
        </w:rPr>
        <w:t>, 202</w:t>
      </w:r>
      <w:r w:rsidR="00FC10EC">
        <w:rPr>
          <w:i/>
          <w:iCs/>
        </w:rPr>
        <w:t>4</w:t>
      </w:r>
      <w:r w:rsidRPr="00CC2CB7">
        <w:rPr>
          <w:i/>
          <w:iCs/>
        </w:rPr>
        <w:t>).</w:t>
      </w:r>
    </w:p>
    <w:p w14:paraId="3F825683" w14:textId="5CA88FD2" w:rsidR="00257621" w:rsidRDefault="00257621" w:rsidP="00257621">
      <w:pPr>
        <w:autoSpaceDE w:val="0"/>
        <w:autoSpaceDN w:val="0"/>
        <w:adjustRightInd w:val="0"/>
        <w:spacing w:after="0" w:line="240" w:lineRule="auto"/>
      </w:pPr>
      <w:r>
        <w:t>Other measures agreed to at the Fed meeting include:</w:t>
      </w:r>
    </w:p>
    <w:p w14:paraId="79E8D7BE" w14:textId="77777777" w:rsidR="007343AC" w:rsidRPr="006B58E3" w:rsidRDefault="005B4281" w:rsidP="005006DD">
      <w:pPr>
        <w:pStyle w:val="ListParagraph"/>
        <w:numPr>
          <w:ilvl w:val="0"/>
          <w:numId w:val="9"/>
        </w:numPr>
        <w:autoSpaceDE w:val="0"/>
        <w:autoSpaceDN w:val="0"/>
        <w:adjustRightInd w:val="0"/>
        <w:spacing w:after="0" w:line="240" w:lineRule="auto"/>
      </w:pPr>
      <w:r w:rsidRPr="006B58E3">
        <w:t xml:space="preserve">In assessing the appropriate stance of monetary policy, the Committee will continue to monitor the implications of incoming information for the economic outlook. The Committee would be prepared to adjust the stance of monetary policy as appropriate if risks emerge that could impede the attainment of the Committee's goals. </w:t>
      </w:r>
    </w:p>
    <w:p w14:paraId="3F5B5026" w14:textId="381D66CD" w:rsidR="005B4281" w:rsidRPr="006B58E3" w:rsidRDefault="005B4281" w:rsidP="005006DD">
      <w:pPr>
        <w:pStyle w:val="ListParagraph"/>
        <w:numPr>
          <w:ilvl w:val="0"/>
          <w:numId w:val="9"/>
        </w:numPr>
        <w:autoSpaceDE w:val="0"/>
        <w:autoSpaceDN w:val="0"/>
        <w:adjustRightInd w:val="0"/>
        <w:spacing w:after="0" w:line="240" w:lineRule="auto"/>
      </w:pPr>
      <w:r w:rsidRPr="006B58E3">
        <w:t xml:space="preserve">The Committee's assessments will </w:t>
      </w:r>
      <w:proofErr w:type="gramStart"/>
      <w:r w:rsidRPr="006B58E3">
        <w:t>take into account</w:t>
      </w:r>
      <w:proofErr w:type="gramEnd"/>
      <w:r w:rsidRPr="006B58E3">
        <w:t xml:space="preserve"> a wide range of information, including readings on labor market conditions, inflation pressures and inflation expectations, and financial and international developments.</w:t>
      </w:r>
      <w:r w:rsidR="00CC2CB7" w:rsidRPr="006B58E3">
        <w:t xml:space="preserve"> (Source: Federal Reserve Press Release </w:t>
      </w:r>
      <w:r w:rsidR="0054112A">
        <w:t>M</w:t>
      </w:r>
      <w:r w:rsidR="00F7687B">
        <w:t>ay</w:t>
      </w:r>
      <w:r w:rsidR="0054112A">
        <w:t xml:space="preserve"> </w:t>
      </w:r>
      <w:r w:rsidR="00F7687B">
        <w:t>1</w:t>
      </w:r>
      <w:r w:rsidR="00CC2CB7" w:rsidRPr="006B58E3">
        <w:t>, 202</w:t>
      </w:r>
      <w:r w:rsidR="00351B55" w:rsidRPr="006B58E3">
        <w:t>4</w:t>
      </w:r>
      <w:r w:rsidR="00CC2CB7" w:rsidRPr="006B58E3">
        <w:t>).</w:t>
      </w:r>
    </w:p>
    <w:bookmarkEnd w:id="1"/>
    <w:p w14:paraId="46234C0C" w14:textId="4432E536" w:rsidR="00DA22F2" w:rsidRPr="00DA22F2" w:rsidRDefault="00DA22F2" w:rsidP="00DA22F2">
      <w:pPr>
        <w:rPr>
          <w:rFonts w:cs="Calibri"/>
          <w:color w:val="222222"/>
          <w:sz w:val="24"/>
          <w:szCs w:val="24"/>
          <w:shd w:val="clear" w:color="auto" w:fill="FFFFFF"/>
        </w:rPr>
      </w:pPr>
      <w:r w:rsidRPr="00DA22F2">
        <w:rPr>
          <w:rFonts w:cs="Calibri"/>
          <w:b/>
          <w:bCs/>
          <w:color w:val="222222"/>
          <w:sz w:val="24"/>
          <w:szCs w:val="24"/>
          <w:shd w:val="clear" w:color="auto" w:fill="FFFFFF"/>
        </w:rPr>
        <w:t xml:space="preserve">The next Fed meeting is scheduled for </w:t>
      </w:r>
      <w:r w:rsidR="007A7779">
        <w:rPr>
          <w:rFonts w:cs="Calibri"/>
          <w:b/>
          <w:bCs/>
          <w:color w:val="222222"/>
          <w:sz w:val="24"/>
          <w:szCs w:val="24"/>
          <w:shd w:val="clear" w:color="auto" w:fill="FFFFFF"/>
        </w:rPr>
        <w:t>11</w:t>
      </w:r>
      <w:r w:rsidR="00D44598">
        <w:rPr>
          <w:rFonts w:cs="Calibri"/>
          <w:b/>
          <w:bCs/>
          <w:color w:val="222222"/>
          <w:sz w:val="24"/>
          <w:szCs w:val="24"/>
          <w:shd w:val="clear" w:color="auto" w:fill="FFFFFF"/>
        </w:rPr>
        <w:t>/</w:t>
      </w:r>
      <w:r w:rsidR="007A7779">
        <w:rPr>
          <w:rFonts w:cs="Calibri"/>
          <w:b/>
          <w:bCs/>
          <w:color w:val="222222"/>
          <w:sz w:val="24"/>
          <w:szCs w:val="24"/>
          <w:shd w:val="clear" w:color="auto" w:fill="FFFFFF"/>
        </w:rPr>
        <w:t>12</w:t>
      </w:r>
      <w:r w:rsidR="00D44598">
        <w:rPr>
          <w:rFonts w:cs="Calibri"/>
          <w:b/>
          <w:bCs/>
          <w:color w:val="222222"/>
          <w:sz w:val="24"/>
          <w:szCs w:val="24"/>
          <w:shd w:val="clear" w:color="auto" w:fill="FFFFFF"/>
        </w:rPr>
        <w:t xml:space="preserve"> </w:t>
      </w:r>
      <w:r w:rsidR="00F7687B">
        <w:rPr>
          <w:rFonts w:cs="Calibri"/>
          <w:b/>
          <w:bCs/>
          <w:color w:val="222222"/>
          <w:sz w:val="24"/>
          <w:szCs w:val="24"/>
          <w:shd w:val="clear" w:color="auto" w:fill="FFFFFF"/>
        </w:rPr>
        <w:t>June</w:t>
      </w:r>
      <w:r w:rsidR="00D44598">
        <w:rPr>
          <w:rFonts w:cs="Calibri"/>
          <w:b/>
          <w:bCs/>
          <w:color w:val="222222"/>
          <w:sz w:val="24"/>
          <w:szCs w:val="24"/>
          <w:shd w:val="clear" w:color="auto" w:fill="FFFFFF"/>
        </w:rPr>
        <w:t xml:space="preserve"> 2024</w:t>
      </w:r>
      <w:r w:rsidRPr="00DA22F2">
        <w:rPr>
          <w:rFonts w:cs="Calibri"/>
          <w:color w:val="222222"/>
          <w:sz w:val="24"/>
          <w:szCs w:val="24"/>
          <w:shd w:val="clear" w:color="auto" w:fill="FFFFFF"/>
        </w:rPr>
        <w:t>. Most officials see US interest rates ending at 5%-5.5%.</w:t>
      </w:r>
    </w:p>
    <w:p w14:paraId="246E64DC" w14:textId="5326D7BA" w:rsidR="00BC1541" w:rsidRPr="00BC1541" w:rsidRDefault="00BC1541" w:rsidP="009E7EF6">
      <w:pPr>
        <w:tabs>
          <w:tab w:val="left" w:pos="5520"/>
        </w:tabs>
        <w:spacing w:before="120" w:after="120" w:line="240" w:lineRule="auto"/>
        <w:rPr>
          <w:b/>
          <w:bCs/>
        </w:rPr>
      </w:pPr>
      <w:r w:rsidRPr="00BC1541">
        <w:rPr>
          <w:b/>
          <w:bCs/>
        </w:rPr>
        <w:t>Investor Focus</w:t>
      </w:r>
    </w:p>
    <w:p w14:paraId="4E857430" w14:textId="1E881FF5" w:rsidR="00E210AE" w:rsidRPr="00E210AE" w:rsidRDefault="00257621" w:rsidP="00E210AE">
      <w:pPr>
        <w:tabs>
          <w:tab w:val="left" w:pos="5520"/>
        </w:tabs>
        <w:spacing w:before="120" w:after="120" w:line="240" w:lineRule="auto"/>
      </w:pPr>
      <w:r>
        <w:t>For Australia, i</w:t>
      </w:r>
      <w:r w:rsidR="00CF1D42" w:rsidRPr="000B0D93">
        <w:t>nvestors</w:t>
      </w:r>
      <w:r w:rsidR="009E7EF6" w:rsidRPr="000B0D93">
        <w:t xml:space="preserve"> focus</w:t>
      </w:r>
      <w:r>
        <w:t>sed o</w:t>
      </w:r>
      <w:r w:rsidR="00E52572">
        <w:t>n</w:t>
      </w:r>
      <w:r w:rsidR="00BC1541">
        <w:t xml:space="preserve"> </w:t>
      </w:r>
      <w:r w:rsidR="00E52572">
        <w:t>the following</w:t>
      </w:r>
      <w:r w:rsidR="00790F5A">
        <w:t xml:space="preserve"> issues:</w:t>
      </w:r>
    </w:p>
    <w:p w14:paraId="1159AA1C" w14:textId="6733C169" w:rsidR="005200E9" w:rsidRDefault="00C52E4A" w:rsidP="005006DD">
      <w:pPr>
        <w:pStyle w:val="ListParagraph"/>
        <w:numPr>
          <w:ilvl w:val="0"/>
          <w:numId w:val="6"/>
        </w:numPr>
        <w:spacing w:before="0" w:after="0" w:line="276" w:lineRule="auto"/>
        <w:ind w:left="357" w:hanging="357"/>
      </w:pPr>
      <w:r w:rsidRPr="008261BB">
        <w:rPr>
          <w:b/>
          <w:bCs/>
        </w:rPr>
        <w:t>Cost of living expenses</w:t>
      </w:r>
      <w:r>
        <w:t xml:space="preserve"> and the impact on </w:t>
      </w:r>
      <w:r w:rsidRPr="00C52E4A">
        <w:rPr>
          <w:b/>
          <w:bCs/>
        </w:rPr>
        <w:t>consumer spending</w:t>
      </w:r>
      <w:r w:rsidR="00617146">
        <w:t>.</w:t>
      </w:r>
    </w:p>
    <w:p w14:paraId="71F71B01" w14:textId="3D499504" w:rsidR="00C52E4A" w:rsidRDefault="00C52E4A" w:rsidP="005006DD">
      <w:pPr>
        <w:pStyle w:val="ListParagraph"/>
        <w:numPr>
          <w:ilvl w:val="0"/>
          <w:numId w:val="6"/>
        </w:numPr>
        <w:spacing w:before="0" w:after="0" w:line="276" w:lineRule="auto"/>
        <w:ind w:left="357" w:hanging="357"/>
      </w:pPr>
      <w:r w:rsidRPr="00C52E4A">
        <w:rPr>
          <w:b/>
          <w:bCs/>
        </w:rPr>
        <w:t xml:space="preserve">Company </w:t>
      </w:r>
      <w:r w:rsidR="00711DF0">
        <w:rPr>
          <w:b/>
          <w:bCs/>
        </w:rPr>
        <w:t xml:space="preserve">results </w:t>
      </w:r>
      <w:r w:rsidR="00711DF0" w:rsidRPr="00711DF0">
        <w:t>post reporting season</w:t>
      </w:r>
      <w:r w:rsidR="00711DF0">
        <w:rPr>
          <w:b/>
          <w:bCs/>
        </w:rPr>
        <w:t>.</w:t>
      </w:r>
    </w:p>
    <w:p w14:paraId="78654FD1" w14:textId="6C059E03" w:rsidR="00C52E4A" w:rsidRDefault="00C52E4A" w:rsidP="005006DD">
      <w:pPr>
        <w:pStyle w:val="ListParagraph"/>
        <w:numPr>
          <w:ilvl w:val="0"/>
          <w:numId w:val="6"/>
        </w:numPr>
        <w:spacing w:before="0" w:after="0" w:line="276" w:lineRule="auto"/>
        <w:ind w:left="357" w:hanging="357"/>
      </w:pPr>
      <w:r>
        <w:t xml:space="preserve">The level of </w:t>
      </w:r>
      <w:r w:rsidRPr="00C52E4A">
        <w:rPr>
          <w:b/>
          <w:bCs/>
        </w:rPr>
        <w:t>interest rates</w:t>
      </w:r>
      <w:r>
        <w:t xml:space="preserve"> and the delicate position of the RBA given inflation </w:t>
      </w:r>
      <w:r w:rsidR="008261BB">
        <w:t>level</w:t>
      </w:r>
      <w:r>
        <w:t>.</w:t>
      </w:r>
    </w:p>
    <w:p w14:paraId="72D4FB61" w14:textId="203BC843" w:rsidR="00C52E4A" w:rsidRDefault="00C52E4A" w:rsidP="005006DD">
      <w:pPr>
        <w:pStyle w:val="ListParagraph"/>
        <w:numPr>
          <w:ilvl w:val="0"/>
          <w:numId w:val="6"/>
        </w:numPr>
        <w:spacing w:before="0" w:after="0" w:line="276" w:lineRule="auto"/>
        <w:ind w:left="357" w:hanging="357"/>
      </w:pPr>
      <w:r w:rsidRPr="00C52E4A">
        <w:rPr>
          <w:b/>
          <w:bCs/>
        </w:rPr>
        <w:t>Inflation</w:t>
      </w:r>
      <w:r>
        <w:t xml:space="preserve"> remains stubbornly high at </w:t>
      </w:r>
      <w:r w:rsidR="008261BB">
        <w:t>3.6</w:t>
      </w:r>
      <w:r>
        <w:t xml:space="preserve">% although easing from </w:t>
      </w:r>
      <w:r w:rsidR="009E18CB">
        <w:t>4</w:t>
      </w:r>
      <w:r w:rsidR="008261BB">
        <w:t>.1</w:t>
      </w:r>
      <w:r>
        <w:t xml:space="preserve">% in the </w:t>
      </w:r>
      <w:r w:rsidR="008261BB">
        <w:t>fourth</w:t>
      </w:r>
      <w:r>
        <w:t xml:space="preserve"> quarter of 2023 which although heading in the right direction, infers </w:t>
      </w:r>
      <w:r w:rsidRPr="00BF1CFC">
        <w:rPr>
          <w:b/>
          <w:bCs/>
        </w:rPr>
        <w:t>higher interest rates for longer</w:t>
      </w:r>
      <w:r>
        <w:t>.</w:t>
      </w:r>
    </w:p>
    <w:p w14:paraId="6E09E404" w14:textId="5908CB74" w:rsidR="00711DF0" w:rsidRDefault="00220A49" w:rsidP="005006DD">
      <w:pPr>
        <w:pStyle w:val="ListParagraph"/>
        <w:numPr>
          <w:ilvl w:val="0"/>
          <w:numId w:val="6"/>
        </w:numPr>
        <w:spacing w:before="0" w:after="0" w:line="276" w:lineRule="auto"/>
        <w:ind w:left="357" w:hanging="357"/>
      </w:pPr>
      <w:r>
        <w:t xml:space="preserve">China growth prospects – the </w:t>
      </w:r>
      <w:r w:rsidR="00617146">
        <w:t xml:space="preserve">PBOC efforts to boost the economic growth by adding liquidity to the market to offset the </w:t>
      </w:r>
      <w:r>
        <w:t xml:space="preserve">property </w:t>
      </w:r>
      <w:r w:rsidR="009C2C4E">
        <w:t>developers’</w:t>
      </w:r>
      <w:r>
        <w:t xml:space="preserve"> losses </w:t>
      </w:r>
      <w:r w:rsidR="0005073D" w:rsidRPr="0005073D">
        <w:rPr>
          <w:b/>
          <w:bCs/>
        </w:rPr>
        <w:t xml:space="preserve">by issuing </w:t>
      </w:r>
      <w:r w:rsidR="00A3418C" w:rsidRPr="0005073D">
        <w:rPr>
          <w:b/>
          <w:bCs/>
        </w:rPr>
        <w:t>one</w:t>
      </w:r>
      <w:r w:rsidR="0005073D" w:rsidRPr="0005073D">
        <w:rPr>
          <w:b/>
          <w:bCs/>
        </w:rPr>
        <w:t xml:space="preserve"> trillion yuan worth of ultra-long sovereign bonds</w:t>
      </w:r>
      <w:r w:rsidR="0005073D">
        <w:t xml:space="preserve"> (30 year and 50 year). T</w:t>
      </w:r>
      <w:r w:rsidR="009E18CB">
        <w:t xml:space="preserve">he </w:t>
      </w:r>
      <w:r>
        <w:t xml:space="preserve">GDP </w:t>
      </w:r>
      <w:r w:rsidR="00301330">
        <w:t xml:space="preserve">annual </w:t>
      </w:r>
      <w:r>
        <w:t xml:space="preserve">growth rate </w:t>
      </w:r>
      <w:r w:rsidR="009E18CB">
        <w:t>r</w:t>
      </w:r>
      <w:r w:rsidR="0005073D">
        <w:t>ose</w:t>
      </w:r>
      <w:r w:rsidR="009E18CB">
        <w:t xml:space="preserve"> to</w:t>
      </w:r>
      <w:r w:rsidR="00301330">
        <w:t xml:space="preserve"> </w:t>
      </w:r>
      <w:r w:rsidR="009E18CB">
        <w:t>5.</w:t>
      </w:r>
      <w:r w:rsidR="008261BB">
        <w:t>3</w:t>
      </w:r>
      <w:r>
        <w:t xml:space="preserve">% </w:t>
      </w:r>
      <w:r w:rsidR="009C2C4E">
        <w:t xml:space="preserve">in </w:t>
      </w:r>
      <w:r w:rsidR="00617146">
        <w:t xml:space="preserve">the </w:t>
      </w:r>
      <w:r w:rsidR="009E18CB">
        <w:t>f</w:t>
      </w:r>
      <w:r w:rsidR="008261BB">
        <w:t>irst</w:t>
      </w:r>
      <w:r w:rsidR="00617146">
        <w:t xml:space="preserve"> quarter of 202</w:t>
      </w:r>
      <w:r w:rsidR="008261BB">
        <w:t>4</w:t>
      </w:r>
      <w:r w:rsidR="00617146">
        <w:t xml:space="preserve"> </w:t>
      </w:r>
      <w:r w:rsidR="009E18CB">
        <w:t>up</w:t>
      </w:r>
      <w:r>
        <w:t xml:space="preserve"> from </w:t>
      </w:r>
      <w:r w:rsidR="008261BB">
        <w:t>5</w:t>
      </w:r>
      <w:r w:rsidR="009E18CB">
        <w:t>.</w:t>
      </w:r>
      <w:r w:rsidR="008261BB">
        <w:t>2</w:t>
      </w:r>
      <w:r>
        <w:t>%</w:t>
      </w:r>
      <w:r w:rsidR="009C2C4E">
        <w:t xml:space="preserve"> previously.</w:t>
      </w:r>
      <w:r>
        <w:t xml:space="preserve"> </w:t>
      </w:r>
    </w:p>
    <w:p w14:paraId="05A30DBB" w14:textId="77777777" w:rsidR="00711DF0" w:rsidRDefault="00711DF0" w:rsidP="00711DF0">
      <w:pPr>
        <w:spacing w:before="0" w:after="0"/>
      </w:pPr>
    </w:p>
    <w:p w14:paraId="46D6F0C5" w14:textId="568BE7C0" w:rsidR="009E7EF6" w:rsidRDefault="006C3294"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lastRenderedPageBreak/>
        <w:t>A</w:t>
      </w:r>
      <w:r w:rsidR="009E7EF6" w:rsidRPr="002C183C">
        <w:rPr>
          <w:rFonts w:asciiTheme="minorHAnsi" w:eastAsiaTheme="minorEastAsia" w:hAnsiTheme="minorHAnsi" w:cstheme="minorBidi"/>
          <w:iCs w:val="0"/>
          <w:color w:val="414042" w:themeColor="text1"/>
          <w:sz w:val="22"/>
          <w:lang w:val="en-AU" w:bidi="ar-SA"/>
        </w:rPr>
        <w:t>sset Class Returns</w:t>
      </w:r>
    </w:p>
    <w:p w14:paraId="68C279E1" w14:textId="3110B0D9" w:rsidR="00171550" w:rsidRDefault="0010573F" w:rsidP="00761513">
      <w:r>
        <w:t xml:space="preserve">Returns across the various asset classes </w:t>
      </w:r>
      <w:r w:rsidR="00C5655B">
        <w:t xml:space="preserve">ended </w:t>
      </w:r>
      <w:r w:rsidR="002061AD">
        <w:t>mixed</w:t>
      </w:r>
      <w:r w:rsidR="00236F73">
        <w:t xml:space="preserve"> </w:t>
      </w:r>
      <w:r w:rsidR="0052476C">
        <w:t xml:space="preserve">over </w:t>
      </w:r>
      <w:r w:rsidR="00C5655B">
        <w:t>the month</w:t>
      </w:r>
      <w:r w:rsidR="004429BF">
        <w:t>:</w:t>
      </w:r>
    </w:p>
    <w:p w14:paraId="1E4CB68D" w14:textId="1085BA13" w:rsidR="00A16C57" w:rsidRDefault="0005073D" w:rsidP="00A16C57">
      <w:pPr>
        <w:jc w:val="center"/>
      </w:pPr>
      <w:r w:rsidRPr="0005073D">
        <w:rPr>
          <w:noProof/>
        </w:rPr>
        <w:drawing>
          <wp:inline distT="0" distB="0" distL="0" distR="0" wp14:anchorId="3F103DFB" wp14:editId="0D3049A3">
            <wp:extent cx="4524375" cy="3352800"/>
            <wp:effectExtent l="0" t="0" r="0" b="0"/>
            <wp:docPr id="11214807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24375" cy="3352800"/>
                    </a:xfrm>
                    <a:prstGeom prst="rect">
                      <a:avLst/>
                    </a:prstGeom>
                    <a:noFill/>
                    <a:ln>
                      <a:noFill/>
                    </a:ln>
                  </pic:spPr>
                </pic:pic>
              </a:graphicData>
            </a:graphic>
          </wp:inline>
        </w:drawing>
      </w:r>
    </w:p>
    <w:p w14:paraId="65003F17" w14:textId="3A3D3E3A" w:rsidR="009E7EF6" w:rsidRPr="00A70A09" w:rsidRDefault="009E7EF6" w:rsidP="00A16C57">
      <w:pPr>
        <w:jc w:val="center"/>
        <w:rPr>
          <w:sz w:val="18"/>
        </w:rPr>
      </w:pPr>
      <w:r w:rsidRPr="00A70A09">
        <w:rPr>
          <w:sz w:val="18"/>
        </w:rPr>
        <w:t xml:space="preserve">Source data: Lonsec as </w:t>
      </w:r>
      <w:r w:rsidR="0023164B" w:rsidRPr="00A70A09">
        <w:rPr>
          <w:sz w:val="18"/>
        </w:rPr>
        <w:t>of</w:t>
      </w:r>
      <w:r w:rsidRPr="00A70A09">
        <w:rPr>
          <w:sz w:val="18"/>
        </w:rPr>
        <w:t xml:space="preserve"> </w:t>
      </w:r>
      <w:bookmarkStart w:id="2" w:name="_Hlk535352886"/>
      <w:r w:rsidR="00516171">
        <w:rPr>
          <w:sz w:val="18"/>
        </w:rPr>
        <w:t>3</w:t>
      </w:r>
      <w:r w:rsidR="0005073D">
        <w:rPr>
          <w:sz w:val="18"/>
        </w:rPr>
        <w:t>0</w:t>
      </w:r>
      <w:r w:rsidR="0005073D" w:rsidRPr="0005073D">
        <w:rPr>
          <w:sz w:val="18"/>
          <w:vertAlign w:val="superscript"/>
        </w:rPr>
        <w:t>th</w:t>
      </w:r>
      <w:r w:rsidR="0005073D">
        <w:rPr>
          <w:sz w:val="18"/>
        </w:rPr>
        <w:t xml:space="preserve"> April</w:t>
      </w:r>
      <w:r w:rsidR="00711DF0">
        <w:rPr>
          <w:sz w:val="18"/>
        </w:rPr>
        <w:t xml:space="preserve"> 2024</w:t>
      </w:r>
    </w:p>
    <w:bookmarkEnd w:id="2"/>
    <w:p w14:paraId="55813FF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Global Share Returns</w:t>
      </w:r>
    </w:p>
    <w:p w14:paraId="206A9790" w14:textId="3F69DF66" w:rsidR="008A4D67" w:rsidRDefault="00BE2741" w:rsidP="008A4D67">
      <w:pPr>
        <w:spacing w:before="120"/>
      </w:pPr>
      <w:r w:rsidRPr="00BE2741">
        <w:t>For share markets</w:t>
      </w:r>
      <w:r w:rsidR="00DD6C05">
        <w:t xml:space="preserve">, </w:t>
      </w:r>
      <w:r w:rsidR="00E51D44">
        <w:t xml:space="preserve">the </w:t>
      </w:r>
      <w:r w:rsidR="003824D8">
        <w:t xml:space="preserve">focus </w:t>
      </w:r>
      <w:r w:rsidR="00F65F3F">
        <w:t>re</w:t>
      </w:r>
      <w:r w:rsidR="002B61FC">
        <w:t xml:space="preserve">mains on </w:t>
      </w:r>
      <w:r w:rsidR="00B23557" w:rsidRPr="00752356">
        <w:rPr>
          <w:b/>
          <w:bCs/>
        </w:rPr>
        <w:t>inflation</w:t>
      </w:r>
      <w:r w:rsidR="003C5801">
        <w:rPr>
          <w:b/>
          <w:bCs/>
        </w:rPr>
        <w:t xml:space="preserve"> </w:t>
      </w:r>
      <w:r w:rsidR="003C5801" w:rsidRPr="003C5801">
        <w:t xml:space="preserve">and the </w:t>
      </w:r>
      <w:r w:rsidR="00C60EEF">
        <w:t xml:space="preserve">potential for </w:t>
      </w:r>
      <w:r w:rsidR="003C5801" w:rsidRPr="003C5801">
        <w:t>Central Banks to</w:t>
      </w:r>
      <w:r w:rsidR="00C60EEF">
        <w:t xml:space="preserve"> look at interest rate </w:t>
      </w:r>
      <w:r w:rsidR="00C60EEF" w:rsidRPr="00C60EEF">
        <w:rPr>
          <w:b/>
          <w:bCs/>
        </w:rPr>
        <w:t>easing programmes</w:t>
      </w:r>
      <w:r w:rsidR="00C60EEF">
        <w:t xml:space="preserve"> over the longer </w:t>
      </w:r>
      <w:r w:rsidR="004273DE">
        <w:t>time</w:t>
      </w:r>
      <w:r w:rsidR="00C60EEF">
        <w:t xml:space="preserve"> </w:t>
      </w:r>
      <w:r w:rsidR="00937E69">
        <w:t xml:space="preserve">horizon </w:t>
      </w:r>
      <w:r w:rsidR="00C60EEF">
        <w:t xml:space="preserve">should inflation data continue to drift lower. </w:t>
      </w:r>
      <w:r w:rsidR="007343AC">
        <w:t>Unhedged g</w:t>
      </w:r>
      <w:r w:rsidR="00557108">
        <w:t xml:space="preserve">lobal shares </w:t>
      </w:r>
      <w:r w:rsidR="0005073D">
        <w:t>benefitted slightly from an easing</w:t>
      </w:r>
      <w:r w:rsidR="004B2806">
        <w:t xml:space="preserve"> </w:t>
      </w:r>
      <w:r w:rsidR="00557108">
        <w:t xml:space="preserve">USD/AUD </w:t>
      </w:r>
      <w:r w:rsidR="0005073D">
        <w:t>weaken</w:t>
      </w:r>
      <w:r w:rsidR="004B2806">
        <w:t xml:space="preserve">ing </w:t>
      </w:r>
      <w:r w:rsidR="00557108">
        <w:t>(0.</w:t>
      </w:r>
      <w:r w:rsidR="00F65F3F">
        <w:t>6</w:t>
      </w:r>
      <w:r w:rsidR="0083662A">
        <w:t>5</w:t>
      </w:r>
      <w:r w:rsidR="0005073D">
        <w:t>25</w:t>
      </w:r>
      <w:r w:rsidR="00557108">
        <w:t xml:space="preserve"> </w:t>
      </w:r>
      <w:r w:rsidR="0005073D">
        <w:t>down</w:t>
      </w:r>
      <w:r w:rsidR="00557108">
        <w:t xml:space="preserve"> </w:t>
      </w:r>
      <w:r w:rsidR="007343AC">
        <w:t>from</w:t>
      </w:r>
      <w:r w:rsidR="00557108">
        <w:t xml:space="preserve"> 0.6</w:t>
      </w:r>
      <w:r w:rsidR="00711DF0">
        <w:t>5</w:t>
      </w:r>
      <w:r w:rsidR="0005073D">
        <w:t>32</w:t>
      </w:r>
      <w:r w:rsidR="00557108">
        <w:t xml:space="preserve">) which had </w:t>
      </w:r>
      <w:r w:rsidR="0083662A">
        <w:t>a</w:t>
      </w:r>
      <w:r w:rsidR="00557108">
        <w:t xml:space="preserve"> </w:t>
      </w:r>
      <w:r w:rsidR="0005073D">
        <w:t>positive</w:t>
      </w:r>
      <w:r w:rsidR="00557108">
        <w:t xml:space="preserve"> impact of </w:t>
      </w:r>
      <w:r w:rsidR="00F65F3F">
        <w:t>(</w:t>
      </w:r>
      <w:r w:rsidR="0005073D">
        <w:t>+</w:t>
      </w:r>
      <w:r w:rsidR="006E54F1">
        <w:t>0.</w:t>
      </w:r>
      <w:r w:rsidR="0005073D">
        <w:t>11</w:t>
      </w:r>
      <w:r w:rsidR="00F65F3F">
        <w:t xml:space="preserve">%) </w:t>
      </w:r>
      <w:r w:rsidR="0005073D">
        <w:t>i</w:t>
      </w:r>
      <w:r w:rsidR="00557108">
        <w:t xml:space="preserve">n </w:t>
      </w:r>
      <w:r w:rsidR="001D6939">
        <w:t xml:space="preserve">AUD </w:t>
      </w:r>
      <w:r w:rsidR="00557108">
        <w:t>returns over the month</w:t>
      </w:r>
      <w:r w:rsidR="00EB2B42">
        <w:t xml:space="preserve"> for unhedged investors</w:t>
      </w:r>
      <w:r w:rsidR="00557108">
        <w:t>.</w:t>
      </w:r>
      <w:r w:rsidR="007B7DEB">
        <w:t xml:space="preserve"> </w:t>
      </w:r>
    </w:p>
    <w:p w14:paraId="648D3E7C" w14:textId="1C6138FB" w:rsidR="008A4D67" w:rsidRDefault="00F65F3F" w:rsidP="008A4D67">
      <w:pPr>
        <w:spacing w:before="120"/>
      </w:pPr>
      <w:r>
        <w:t xml:space="preserve">The markets are </w:t>
      </w:r>
      <w:r w:rsidR="0005073D">
        <w:t xml:space="preserve">reacting to the latest interest rate moves however, they are fundamentally </w:t>
      </w:r>
      <w:r w:rsidR="004B2806">
        <w:t>looking</w:t>
      </w:r>
      <w:r>
        <w:t xml:space="preserve"> to stabilise and regain a level of confidence.</w:t>
      </w:r>
      <w:r w:rsidR="003C5801">
        <w:t xml:space="preserve"> </w:t>
      </w:r>
      <w:r w:rsidR="004B7BB6">
        <w:t>Investors</w:t>
      </w:r>
      <w:r w:rsidR="001F41C6">
        <w:t xml:space="preserve"> </w:t>
      </w:r>
      <w:r w:rsidR="004273DE">
        <w:t xml:space="preserve">welcome the </w:t>
      </w:r>
      <w:r w:rsidR="00EF6467">
        <w:t>obvious signs</w:t>
      </w:r>
      <w:r w:rsidR="00B87F8B">
        <w:t xml:space="preserve"> that Central Banks </w:t>
      </w:r>
      <w:r w:rsidR="004273DE">
        <w:t>have</w:t>
      </w:r>
      <w:r w:rsidR="00B87F8B">
        <w:t xml:space="preserve"> “</w:t>
      </w:r>
      <w:r w:rsidR="003C5801" w:rsidRPr="00C27701">
        <w:rPr>
          <w:b/>
          <w:bCs/>
        </w:rPr>
        <w:t>pivot</w:t>
      </w:r>
      <w:r w:rsidR="004273DE">
        <w:rPr>
          <w:b/>
          <w:bCs/>
        </w:rPr>
        <w:t>ed</w:t>
      </w:r>
      <w:r w:rsidR="003C5801" w:rsidRPr="00C27701">
        <w:rPr>
          <w:b/>
          <w:bCs/>
        </w:rPr>
        <w:t>”</w:t>
      </w:r>
      <w:r w:rsidR="003C5801">
        <w:t xml:space="preserve"> </w:t>
      </w:r>
      <w:r>
        <w:t xml:space="preserve">now and </w:t>
      </w:r>
      <w:r w:rsidR="00C27701">
        <w:t xml:space="preserve">future </w:t>
      </w:r>
      <w:r w:rsidR="003C5801">
        <w:t xml:space="preserve">interest rates </w:t>
      </w:r>
      <w:r w:rsidR="00B87F8B">
        <w:t>moves are likely to be down not up which will underpin company valuations and support markets</w:t>
      </w:r>
      <w:r w:rsidR="0005073D">
        <w:t xml:space="preserve"> over the longer term</w:t>
      </w:r>
      <w:r w:rsidR="00B87F8B">
        <w:t>.</w:t>
      </w:r>
    </w:p>
    <w:p w14:paraId="13694BB7" w14:textId="43D1DAC4" w:rsidR="003C5801" w:rsidRDefault="00557108" w:rsidP="008A4D67">
      <w:pPr>
        <w:spacing w:before="120"/>
      </w:pPr>
      <w:r>
        <w:t>M</w:t>
      </w:r>
      <w:r w:rsidR="002B052C">
        <w:t xml:space="preserve">ost investors are content to </w:t>
      </w:r>
      <w:r w:rsidR="002B052C" w:rsidRPr="004F550F">
        <w:rPr>
          <w:b/>
          <w:bCs/>
        </w:rPr>
        <w:t xml:space="preserve">stay invested and </w:t>
      </w:r>
      <w:r w:rsidR="00711DF0">
        <w:rPr>
          <w:b/>
          <w:bCs/>
        </w:rPr>
        <w:t>opportunistically add to their positions</w:t>
      </w:r>
      <w:r w:rsidR="00DA22F2">
        <w:t xml:space="preserve"> </w:t>
      </w:r>
      <w:r w:rsidR="008D0519">
        <w:t xml:space="preserve">which has proven the correct strategy over the </w:t>
      </w:r>
      <w:r w:rsidR="0005073D">
        <w:t>recent medium-term trend</w:t>
      </w:r>
      <w:r w:rsidR="008D0519">
        <w:t>.</w:t>
      </w:r>
      <w:r w:rsidR="002B052C">
        <w:t xml:space="preserve"> </w:t>
      </w:r>
    </w:p>
    <w:p w14:paraId="6A843746" w14:textId="1265CFCD" w:rsidR="00317447" w:rsidRDefault="0005073D" w:rsidP="00CC263B">
      <w:pPr>
        <w:jc w:val="center"/>
        <w:rPr>
          <w:sz w:val="18"/>
        </w:rPr>
      </w:pPr>
      <w:r w:rsidRPr="0005073D">
        <w:rPr>
          <w:noProof/>
          <w:sz w:val="18"/>
        </w:rPr>
        <w:lastRenderedPageBreak/>
        <w:drawing>
          <wp:inline distT="0" distB="0" distL="0" distR="0" wp14:anchorId="5542D01C" wp14:editId="22542D97">
            <wp:extent cx="4648200" cy="3276600"/>
            <wp:effectExtent l="0" t="0" r="0" b="0"/>
            <wp:docPr id="16135410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8200" cy="3276600"/>
                    </a:xfrm>
                    <a:prstGeom prst="rect">
                      <a:avLst/>
                    </a:prstGeom>
                    <a:noFill/>
                    <a:ln>
                      <a:noFill/>
                    </a:ln>
                  </pic:spPr>
                </pic:pic>
              </a:graphicData>
            </a:graphic>
          </wp:inline>
        </w:drawing>
      </w:r>
    </w:p>
    <w:p w14:paraId="1D14B791" w14:textId="0E8B6EBC" w:rsidR="00CC263B" w:rsidRPr="00BE778B" w:rsidRDefault="00CC263B" w:rsidP="00CC263B">
      <w:pPr>
        <w:jc w:val="center"/>
        <w:rPr>
          <w:sz w:val="18"/>
        </w:rPr>
      </w:pPr>
      <w:r w:rsidRPr="00A70A09">
        <w:rPr>
          <w:sz w:val="18"/>
        </w:rPr>
        <w:t>Source data: Lonsec as of</w:t>
      </w:r>
      <w:r>
        <w:rPr>
          <w:sz w:val="18"/>
        </w:rPr>
        <w:t xml:space="preserve"> </w:t>
      </w:r>
      <w:r w:rsidR="00B437CB">
        <w:rPr>
          <w:sz w:val="18"/>
        </w:rPr>
        <w:t>3</w:t>
      </w:r>
      <w:r w:rsidR="0005073D">
        <w:rPr>
          <w:sz w:val="18"/>
        </w:rPr>
        <w:t>0</w:t>
      </w:r>
      <w:r w:rsidR="0005073D" w:rsidRPr="0005073D">
        <w:rPr>
          <w:sz w:val="18"/>
          <w:vertAlign w:val="superscript"/>
        </w:rPr>
        <w:t>th</w:t>
      </w:r>
      <w:r w:rsidR="0005073D">
        <w:rPr>
          <w:sz w:val="18"/>
        </w:rPr>
        <w:t xml:space="preserve"> April</w:t>
      </w:r>
      <w:r>
        <w:rPr>
          <w:sz w:val="18"/>
        </w:rPr>
        <w:t xml:space="preserve"> 202</w:t>
      </w:r>
      <w:r w:rsidR="004C5B3F">
        <w:rPr>
          <w:sz w:val="18"/>
        </w:rPr>
        <w:t>4</w:t>
      </w:r>
    </w:p>
    <w:p w14:paraId="114DA578" w14:textId="72C9D3DE" w:rsidR="00E51A06" w:rsidRDefault="001B12A9" w:rsidP="00CC263B">
      <w:r>
        <w:t>In AUD terms, t</w:t>
      </w:r>
      <w:r w:rsidR="009E7EF6">
        <w:t xml:space="preserve">he </w:t>
      </w:r>
      <w:r w:rsidR="008E7965">
        <w:t>global</w:t>
      </w:r>
      <w:r w:rsidR="00BF5596">
        <w:t xml:space="preserve"> </w:t>
      </w:r>
      <w:r w:rsidR="00E101E2">
        <w:t xml:space="preserve">share </w:t>
      </w:r>
      <w:r w:rsidR="009E7EF6">
        <w:t xml:space="preserve">markets posted </w:t>
      </w:r>
      <w:r w:rsidR="005909DA">
        <w:t>one</w:t>
      </w:r>
      <w:r w:rsidR="009E7EF6">
        <w:t xml:space="preserve"> month return of</w:t>
      </w:r>
      <w:r w:rsidR="00BF5596">
        <w:t xml:space="preserve"> </w:t>
      </w:r>
      <w:r w:rsidR="009E7EF6">
        <w:t>(</w:t>
      </w:r>
      <w:r w:rsidR="00937E69">
        <w:t>-3.22</w:t>
      </w:r>
      <w:r w:rsidR="009E7EF6">
        <w:t>%)</w:t>
      </w:r>
      <w:r w:rsidR="00E51A06">
        <w:t>. T</w:t>
      </w:r>
      <w:r w:rsidR="009E7EF6">
        <w:t>he US</w:t>
      </w:r>
      <w:r w:rsidR="00E51A06">
        <w:t xml:space="preserve"> posted </w:t>
      </w:r>
      <w:r w:rsidR="00184AC2">
        <w:t>returns</w:t>
      </w:r>
      <w:r>
        <w:t xml:space="preserve"> </w:t>
      </w:r>
      <w:r w:rsidR="00E51A06">
        <w:t>of</w:t>
      </w:r>
      <w:r w:rsidR="009E7EF6">
        <w:t xml:space="preserve"> (</w:t>
      </w:r>
      <w:r w:rsidR="00937E69">
        <w:t>-3.63</w:t>
      </w:r>
      <w:r w:rsidR="009E7EF6">
        <w:t>%)</w:t>
      </w:r>
      <w:r w:rsidR="00E51A06">
        <w:t xml:space="preserve">, </w:t>
      </w:r>
      <w:r w:rsidR="009E7EF6">
        <w:t>Asia ex Japan (</w:t>
      </w:r>
      <w:r w:rsidR="00937E69">
        <w:t>+0.96</w:t>
      </w:r>
      <w:r w:rsidR="009E7EF6">
        <w:t>%)</w:t>
      </w:r>
      <w:r w:rsidR="00E51A06">
        <w:t>,</w:t>
      </w:r>
      <w:r w:rsidR="009E7EF6">
        <w:t xml:space="preserve"> Japan (</w:t>
      </w:r>
      <w:r w:rsidR="00937E69">
        <w:t>-2.01</w:t>
      </w:r>
      <w:r w:rsidR="009E7EF6">
        <w:t>%)</w:t>
      </w:r>
      <w:r w:rsidR="00E51A06">
        <w:t>,</w:t>
      </w:r>
      <w:r w:rsidR="009E7EF6">
        <w:t xml:space="preserve"> the UK (</w:t>
      </w:r>
      <w:r w:rsidR="00937E69">
        <w:t>+2.37</w:t>
      </w:r>
      <w:r w:rsidR="009E7EF6">
        <w:t>%)</w:t>
      </w:r>
      <w:r w:rsidR="00E51A06">
        <w:t>,</w:t>
      </w:r>
      <w:r w:rsidR="009E7EF6">
        <w:t xml:space="preserve"> Europe</w:t>
      </w:r>
      <w:r w:rsidR="00776C10">
        <w:t xml:space="preserve"> </w:t>
      </w:r>
      <w:r w:rsidR="00E51A06">
        <w:t>(</w:t>
      </w:r>
      <w:r w:rsidR="00937E69">
        <w:t>-1.27</w:t>
      </w:r>
      <w:r w:rsidR="005909DA">
        <w:t>%</w:t>
      </w:r>
      <w:r w:rsidR="00E51A06">
        <w:t xml:space="preserve">) </w:t>
      </w:r>
      <w:r w:rsidR="00776C10">
        <w:t>and</w:t>
      </w:r>
      <w:r w:rsidR="009E7EF6">
        <w:t xml:space="preserve"> </w:t>
      </w:r>
      <w:r w:rsidR="00776C10">
        <w:t>the Emerging Markets</w:t>
      </w:r>
      <w:r w:rsidR="00E51A06">
        <w:t xml:space="preserve"> (</w:t>
      </w:r>
      <w:r w:rsidR="00937E69">
        <w:t>+0.94</w:t>
      </w:r>
      <w:r w:rsidR="005909DA">
        <w:t>%</w:t>
      </w:r>
      <w:r w:rsidR="00E51A06">
        <w:t>)</w:t>
      </w:r>
      <w:r w:rsidR="009E7EF6">
        <w:t xml:space="preserve">. </w:t>
      </w:r>
    </w:p>
    <w:p w14:paraId="5BD2B4D9" w14:textId="5A35E1D4" w:rsidR="00802B2D" w:rsidRPr="002C183C" w:rsidRDefault="00802B2D" w:rsidP="00802B2D">
      <w:pPr>
        <w:rPr>
          <w:b/>
          <w:bCs/>
        </w:rPr>
      </w:pPr>
      <w:r w:rsidRPr="002C183C">
        <w:rPr>
          <w:b/>
          <w:bCs/>
        </w:rPr>
        <w:t>Australian Shares</w:t>
      </w:r>
    </w:p>
    <w:p w14:paraId="6D122B4F" w14:textId="0E9B7DBA" w:rsidR="00D96147" w:rsidRDefault="00802B2D" w:rsidP="00080677">
      <w:r>
        <w:t xml:space="preserve">Australian </w:t>
      </w:r>
      <w:r w:rsidR="00D019FE">
        <w:t xml:space="preserve">shares </w:t>
      </w:r>
      <w:r w:rsidR="00317447">
        <w:t xml:space="preserve">posted </w:t>
      </w:r>
      <w:r w:rsidR="00937E69">
        <w:t>negat</w:t>
      </w:r>
      <w:r w:rsidR="00D87293">
        <w:t>ive</w:t>
      </w:r>
      <w:r w:rsidR="009D2BC7">
        <w:t xml:space="preserve"> returns </w:t>
      </w:r>
      <w:r w:rsidR="00937E69">
        <w:t>dragged down</w:t>
      </w:r>
      <w:r w:rsidR="009D2BC7">
        <w:t xml:space="preserve"> by the global trend</w:t>
      </w:r>
      <w:r w:rsidR="00D87293">
        <w:t xml:space="preserve"> and </w:t>
      </w:r>
      <w:r w:rsidR="00937E69">
        <w:t>soft</w:t>
      </w:r>
      <w:r w:rsidR="00D87293">
        <w:t xml:space="preserve"> economic conditions</w:t>
      </w:r>
      <w:r w:rsidR="009D2BC7">
        <w:t xml:space="preserve">. </w:t>
      </w:r>
      <w:r w:rsidR="009D26B6">
        <w:t>Sh</w:t>
      </w:r>
      <w:r w:rsidR="00965252">
        <w:t xml:space="preserve">ares </w:t>
      </w:r>
      <w:r w:rsidR="00EF6467">
        <w:t>finished</w:t>
      </w:r>
      <w:r w:rsidR="009D26B6">
        <w:t xml:space="preserve"> </w:t>
      </w:r>
      <w:r w:rsidR="000E3566">
        <w:t>(</w:t>
      </w:r>
      <w:r w:rsidR="00937E69">
        <w:t>-2.94</w:t>
      </w:r>
      <w:r w:rsidR="000E3566">
        <w:t>%) for the month</w:t>
      </w:r>
      <w:r w:rsidR="0089710F">
        <w:t xml:space="preserve"> and (</w:t>
      </w:r>
      <w:r w:rsidR="00FC03A5">
        <w:t>+</w:t>
      </w:r>
      <w:r w:rsidR="00937E69">
        <w:t>1.03</w:t>
      </w:r>
      <w:r w:rsidR="0089710F">
        <w:t>%) over the last three months</w:t>
      </w:r>
      <w:r w:rsidR="00992554">
        <w:t>.</w:t>
      </w:r>
      <w:r w:rsidR="000E3566">
        <w:t xml:space="preserve"> </w:t>
      </w:r>
      <w:r w:rsidR="00992554">
        <w:t>The focus for investors was</w:t>
      </w:r>
      <w:r w:rsidR="00F02508">
        <w:t>:</w:t>
      </w:r>
    </w:p>
    <w:p w14:paraId="717593C6" w14:textId="77777777" w:rsidR="009D2BC7" w:rsidRPr="009D2BC7" w:rsidRDefault="009D2BC7" w:rsidP="005006DD">
      <w:pPr>
        <w:pStyle w:val="ListParagraph"/>
        <w:numPr>
          <w:ilvl w:val="0"/>
          <w:numId w:val="7"/>
        </w:numPr>
      </w:pPr>
      <w:r w:rsidRPr="009D2BC7">
        <w:rPr>
          <w:b/>
          <w:bCs/>
        </w:rPr>
        <w:t>Cost of living expenses</w:t>
      </w:r>
      <w:r w:rsidRPr="009D2BC7">
        <w:t xml:space="preserve"> and the impact on consumer spending.</w:t>
      </w:r>
    </w:p>
    <w:p w14:paraId="46B2FCA7" w14:textId="2D8A7509" w:rsidR="009D2BC7" w:rsidRPr="009D2BC7" w:rsidRDefault="009D2BC7" w:rsidP="005006DD">
      <w:pPr>
        <w:pStyle w:val="ListParagraph"/>
        <w:numPr>
          <w:ilvl w:val="0"/>
          <w:numId w:val="7"/>
        </w:numPr>
      </w:pPr>
      <w:r w:rsidRPr="009D2BC7">
        <w:rPr>
          <w:b/>
          <w:bCs/>
        </w:rPr>
        <w:t>Company profits</w:t>
      </w:r>
      <w:r w:rsidRPr="009D2BC7">
        <w:t xml:space="preserve"> </w:t>
      </w:r>
      <w:r w:rsidR="001F41D2">
        <w:t>and forward earnings guidance</w:t>
      </w:r>
      <w:r w:rsidRPr="009D2BC7">
        <w:t>.</w:t>
      </w:r>
    </w:p>
    <w:p w14:paraId="5BBF831F" w14:textId="613959A3" w:rsidR="009D26B6" w:rsidRPr="009D2BC7" w:rsidRDefault="009D26B6" w:rsidP="005006DD">
      <w:pPr>
        <w:pStyle w:val="ListParagraph"/>
        <w:numPr>
          <w:ilvl w:val="0"/>
          <w:numId w:val="7"/>
        </w:numPr>
      </w:pPr>
      <w:r w:rsidRPr="009D2BC7">
        <w:rPr>
          <w:b/>
          <w:bCs/>
        </w:rPr>
        <w:t>Consumer confidence</w:t>
      </w:r>
      <w:r w:rsidRPr="009D2BC7">
        <w:t xml:space="preserve"> post the interest rate increases.</w:t>
      </w:r>
    </w:p>
    <w:p w14:paraId="17FE682E" w14:textId="64819F0C" w:rsidR="00EE74FA" w:rsidRDefault="00EE74FA" w:rsidP="005006DD">
      <w:pPr>
        <w:pStyle w:val="ListParagraph"/>
        <w:numPr>
          <w:ilvl w:val="0"/>
          <w:numId w:val="7"/>
        </w:numPr>
      </w:pPr>
      <w:r w:rsidRPr="00913545">
        <w:rPr>
          <w:b/>
          <w:bCs/>
        </w:rPr>
        <w:t>Mortgage stress</w:t>
      </w:r>
      <w:r>
        <w:t xml:space="preserve"> and the </w:t>
      </w:r>
      <w:r w:rsidR="00F43A7D">
        <w:t>impact</w:t>
      </w:r>
      <w:r>
        <w:t xml:space="preserve"> on </w:t>
      </w:r>
      <w:r w:rsidR="00965252">
        <w:t>domestic house prices</w:t>
      </w:r>
      <w:r w:rsidR="00D24497">
        <w:t xml:space="preserve"> and banks</w:t>
      </w:r>
      <w:r>
        <w:t>.</w:t>
      </w:r>
    </w:p>
    <w:p w14:paraId="2733ED20" w14:textId="4C316FBE" w:rsidR="002D1C33" w:rsidRDefault="00EE74FA" w:rsidP="005006DD">
      <w:pPr>
        <w:pStyle w:val="ListParagraph"/>
        <w:numPr>
          <w:ilvl w:val="0"/>
          <w:numId w:val="7"/>
        </w:numPr>
      </w:pPr>
      <w:r w:rsidRPr="00913545">
        <w:rPr>
          <w:b/>
          <w:bCs/>
        </w:rPr>
        <w:t>I</w:t>
      </w:r>
      <w:r w:rsidR="00D96147" w:rsidRPr="00913545">
        <w:rPr>
          <w:b/>
          <w:bCs/>
        </w:rPr>
        <w:t xml:space="preserve">nflation </w:t>
      </w:r>
      <w:r w:rsidR="00D96147">
        <w:t xml:space="preserve">and the </w:t>
      </w:r>
      <w:r w:rsidR="006B60E2">
        <w:t xml:space="preserve">welcome response </w:t>
      </w:r>
      <w:r w:rsidR="00395F1F">
        <w:t xml:space="preserve">by the RBA to </w:t>
      </w:r>
      <w:r w:rsidR="006B60E2">
        <w:t xml:space="preserve">hold </w:t>
      </w:r>
      <w:r w:rsidR="001C5422">
        <w:t xml:space="preserve">the target cash rate </w:t>
      </w:r>
      <w:r w:rsidR="006B60E2">
        <w:t>at 4.</w:t>
      </w:r>
      <w:r w:rsidR="009D2BC7">
        <w:t>35</w:t>
      </w:r>
      <w:r w:rsidR="006B60E2">
        <w:t>%.</w:t>
      </w:r>
    </w:p>
    <w:p w14:paraId="03D0C949" w14:textId="4ECC71C7" w:rsidR="009E7EF6" w:rsidRDefault="0089710F" w:rsidP="009E7EF6">
      <w:r>
        <w:t>C</w:t>
      </w:r>
      <w:r w:rsidR="00E05A34">
        <w:t>om</w:t>
      </w:r>
      <w:r w:rsidR="009E7EF6" w:rsidRPr="00F90325">
        <w:t xml:space="preserve">modity markets </w:t>
      </w:r>
      <w:r w:rsidR="00457450">
        <w:t>ended</w:t>
      </w:r>
      <w:r w:rsidR="00E32E30">
        <w:t xml:space="preserve"> </w:t>
      </w:r>
      <w:r w:rsidR="006C3814">
        <w:t>mixed</w:t>
      </w:r>
      <w:r w:rsidR="00FC5F13">
        <w:t xml:space="preserve"> </w:t>
      </w:r>
      <w:r w:rsidR="0056303E">
        <w:t xml:space="preserve">with </w:t>
      </w:r>
      <w:r w:rsidR="009E7EF6" w:rsidRPr="00F90325">
        <w:t>Iron Ore clos</w:t>
      </w:r>
      <w:r w:rsidR="00040E36">
        <w:t>ing</w:t>
      </w:r>
      <w:r w:rsidR="009E7EF6" w:rsidRPr="00F90325">
        <w:t xml:space="preserve"> at US$</w:t>
      </w:r>
      <w:r w:rsidR="00C81C0C">
        <w:t>1</w:t>
      </w:r>
      <w:r w:rsidR="00937E69">
        <w:t>10</w:t>
      </w:r>
      <w:r w:rsidR="00B437CB">
        <w:t>.</w:t>
      </w:r>
      <w:r w:rsidR="00937E69">
        <w:t>91</w:t>
      </w:r>
      <w:r w:rsidR="009E7EF6" w:rsidRPr="00F90325">
        <w:t xml:space="preserve"> </w:t>
      </w:r>
      <w:r w:rsidR="006D3802">
        <w:t xml:space="preserve">per tonne </w:t>
      </w:r>
      <w:r w:rsidR="00910A84">
        <w:t xml:space="preserve">at the end of </w:t>
      </w:r>
      <w:r w:rsidR="0079027C">
        <w:t>April</w:t>
      </w:r>
      <w:r w:rsidR="00AA627D">
        <w:t xml:space="preserve"> 202</w:t>
      </w:r>
      <w:r w:rsidR="006C3814">
        <w:t>4</w:t>
      </w:r>
      <w:r w:rsidR="00910A84">
        <w:t xml:space="preserve"> </w:t>
      </w:r>
      <w:r w:rsidR="00A85A05" w:rsidRPr="00F90325">
        <w:t xml:space="preserve">with </w:t>
      </w:r>
      <w:r w:rsidR="00910A84">
        <w:t xml:space="preserve">a </w:t>
      </w:r>
      <w:r w:rsidR="00A85A05" w:rsidRPr="00F90325">
        <w:t xml:space="preserve">monthly </w:t>
      </w:r>
      <w:r w:rsidR="0079027C">
        <w:t>gain</w:t>
      </w:r>
      <w:r w:rsidR="008F7018">
        <w:t xml:space="preserve"> </w:t>
      </w:r>
      <w:r w:rsidR="00A85A05" w:rsidRPr="00F90325">
        <w:t>of (</w:t>
      </w:r>
      <w:r w:rsidR="0079027C">
        <w:t>+1.26</w:t>
      </w:r>
      <w:r w:rsidR="00A85A05" w:rsidRPr="00F90325">
        <w:t xml:space="preserve">%) </w:t>
      </w:r>
      <w:r w:rsidR="00FC5F13">
        <w:t xml:space="preserve">and </w:t>
      </w:r>
      <w:r w:rsidR="001F41D2">
        <w:t>losses</w:t>
      </w:r>
      <w:r w:rsidR="00C44EA9">
        <w:t xml:space="preserve"> of </w:t>
      </w:r>
      <w:r w:rsidR="009E7EF6" w:rsidRPr="00F90325">
        <w:t>(</w:t>
      </w:r>
      <w:r w:rsidR="001F41D2">
        <w:t>-</w:t>
      </w:r>
      <w:r w:rsidR="00B437CB">
        <w:t>1</w:t>
      </w:r>
      <w:r w:rsidR="0079027C">
        <w:t>7.92</w:t>
      </w:r>
      <w:r w:rsidR="009E7EF6" w:rsidRPr="00F90325">
        <w:t xml:space="preserve">%) for </w:t>
      </w:r>
      <w:r w:rsidR="0032180A" w:rsidRPr="00F90325">
        <w:t>the previous three months</w:t>
      </w:r>
      <w:r w:rsidR="009E7EF6" w:rsidRPr="00F90325">
        <w:t xml:space="preserve">. </w:t>
      </w:r>
      <w:r w:rsidR="008F7018">
        <w:t>O</w:t>
      </w:r>
      <w:r w:rsidR="008F7018" w:rsidRPr="00F90325">
        <w:t xml:space="preserve">il (WTI) </w:t>
      </w:r>
      <w:r w:rsidR="008F7018">
        <w:t>closed</w:t>
      </w:r>
      <w:r w:rsidR="00E91EC4">
        <w:t xml:space="preserve"> </w:t>
      </w:r>
      <w:r w:rsidR="0079027C">
        <w:t>lower</w:t>
      </w:r>
      <w:r w:rsidR="008F7018" w:rsidRPr="00F90325">
        <w:t xml:space="preserve"> at US$</w:t>
      </w:r>
      <w:r w:rsidR="00B437CB">
        <w:t>8</w:t>
      </w:r>
      <w:r w:rsidR="0079027C">
        <w:t>1</w:t>
      </w:r>
      <w:r w:rsidR="00B437CB">
        <w:t>.</w:t>
      </w:r>
      <w:r w:rsidR="0079027C">
        <w:t>93</w:t>
      </w:r>
      <w:r w:rsidR="008F7018" w:rsidRPr="00F90325">
        <w:t xml:space="preserve"> </w:t>
      </w:r>
      <w:r w:rsidR="008F7018">
        <w:t xml:space="preserve">a barrel </w:t>
      </w:r>
      <w:r w:rsidR="008F7018" w:rsidRPr="00F90325">
        <w:t>at the end o</w:t>
      </w:r>
      <w:r w:rsidR="008F7018">
        <w:t>f</w:t>
      </w:r>
      <w:r w:rsidR="008F7018" w:rsidRPr="00F90325">
        <w:t xml:space="preserve"> </w:t>
      </w:r>
      <w:r w:rsidR="0079027C">
        <w:t>April</w:t>
      </w:r>
      <w:r w:rsidR="00AA627D">
        <w:t xml:space="preserve"> 202</w:t>
      </w:r>
      <w:r w:rsidR="006C68B8">
        <w:t>4</w:t>
      </w:r>
      <w:r w:rsidR="008F7018" w:rsidRPr="00F90325">
        <w:t xml:space="preserve"> </w:t>
      </w:r>
      <w:r w:rsidR="008F7018">
        <w:t>resulting in</w:t>
      </w:r>
      <w:r w:rsidR="008F7018" w:rsidRPr="00F90325">
        <w:t xml:space="preserve"> </w:t>
      </w:r>
      <w:r w:rsidR="006C68B8">
        <w:t xml:space="preserve">a </w:t>
      </w:r>
      <w:r w:rsidR="0079027C">
        <w:t>loss</w:t>
      </w:r>
      <w:r w:rsidR="006C68B8">
        <w:t xml:space="preserve"> of</w:t>
      </w:r>
      <w:r w:rsidR="008F7018" w:rsidRPr="00F90325">
        <w:t xml:space="preserve"> (</w:t>
      </w:r>
      <w:r w:rsidR="0079027C">
        <w:t>-1.49</w:t>
      </w:r>
      <w:r w:rsidR="00E77097">
        <w:t>%</w:t>
      </w:r>
      <w:r w:rsidR="008F7018" w:rsidRPr="00F90325">
        <w:t xml:space="preserve">) for the month </w:t>
      </w:r>
      <w:r w:rsidR="00107972">
        <w:t xml:space="preserve">and </w:t>
      </w:r>
      <w:r w:rsidR="001F41D2">
        <w:t>up</w:t>
      </w:r>
      <w:r w:rsidR="00F93701">
        <w:t xml:space="preserve"> </w:t>
      </w:r>
      <w:r w:rsidR="008F7018" w:rsidRPr="00F90325">
        <w:t>(</w:t>
      </w:r>
      <w:r w:rsidR="001F41D2">
        <w:t>+</w:t>
      </w:r>
      <w:r w:rsidR="0079027C">
        <w:t>8.02</w:t>
      </w:r>
      <w:r w:rsidR="00DB1554">
        <w:t>%</w:t>
      </w:r>
      <w:r w:rsidR="008F7018" w:rsidRPr="00F90325">
        <w:t xml:space="preserve">) over the </w:t>
      </w:r>
      <w:r w:rsidR="00E65B82">
        <w:t xml:space="preserve">last </w:t>
      </w:r>
      <w:r w:rsidR="008F7018" w:rsidRPr="00F90325">
        <w:t>three months.</w:t>
      </w:r>
      <w:r w:rsidR="008F7018">
        <w:t xml:space="preserve"> China remains our main export market followed by Japan. </w:t>
      </w:r>
    </w:p>
    <w:p w14:paraId="7BC6B594" w14:textId="7E48C16A"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lastRenderedPageBreak/>
        <w:t>Australian Industry Returns</w:t>
      </w:r>
      <w:r w:rsidRPr="002C183C">
        <w:rPr>
          <w:rFonts w:asciiTheme="minorHAnsi" w:eastAsiaTheme="minorEastAsia" w:hAnsiTheme="minorHAnsi" w:cstheme="minorBidi"/>
          <w:iCs w:val="0"/>
          <w:color w:val="414042" w:themeColor="text1"/>
          <w:sz w:val="22"/>
          <w:lang w:val="en-AU" w:bidi="ar-SA"/>
        </w:rPr>
        <w:tab/>
      </w:r>
    </w:p>
    <w:p w14:paraId="1130FA96" w14:textId="7236E17D" w:rsidR="009E7EF6" w:rsidRDefault="009E7EF6" w:rsidP="009E7EF6">
      <w:pPr>
        <w:spacing w:before="120" w:after="120"/>
      </w:pPr>
      <w:r>
        <w:t xml:space="preserve">Industry sectors </w:t>
      </w:r>
      <w:r w:rsidR="00CF0345">
        <w:t>posted</w:t>
      </w:r>
      <w:r w:rsidR="00436EB4">
        <w:t xml:space="preserve"> </w:t>
      </w:r>
      <w:r w:rsidR="00E32E30">
        <w:t>mixed</w:t>
      </w:r>
      <w:r w:rsidR="003E66A5">
        <w:t xml:space="preserve"> </w:t>
      </w:r>
      <w:r w:rsidR="00CF0345">
        <w:t xml:space="preserve">results </w:t>
      </w:r>
      <w:r>
        <w:t xml:space="preserve">for </w:t>
      </w:r>
      <w:r w:rsidR="00053887">
        <w:t>April</w:t>
      </w:r>
      <w:r w:rsidR="00AA627D">
        <w:t xml:space="preserve"> 202</w:t>
      </w:r>
      <w:r w:rsidR="00053887">
        <w:t>4</w:t>
      </w:r>
      <w:r w:rsidR="008855EF">
        <w:t>.</w:t>
      </w:r>
      <w:r w:rsidR="00C460B3">
        <w:t xml:space="preserve"> </w:t>
      </w:r>
      <w:r>
        <w:t xml:space="preserve">The </w:t>
      </w:r>
      <w:r w:rsidR="000B4548">
        <w:t xml:space="preserve">industry sector </w:t>
      </w:r>
      <w:r w:rsidR="00ED23CC">
        <w:t>performance results</w:t>
      </w:r>
      <w:r>
        <w:t xml:space="preserve"> </w:t>
      </w:r>
      <w:r w:rsidR="00A85A05">
        <w:t xml:space="preserve">for the last </w:t>
      </w:r>
      <w:r w:rsidR="00C41573">
        <w:t xml:space="preserve">month </w:t>
      </w:r>
      <w:r>
        <w:t>were</w:t>
      </w:r>
      <w:r w:rsidR="007B7DEB">
        <w:t>:</w:t>
      </w:r>
    </w:p>
    <w:p w14:paraId="495E86FB" w14:textId="4D5564FE" w:rsidR="005D2435" w:rsidRDefault="00053887" w:rsidP="003E7BC7">
      <w:pPr>
        <w:spacing w:before="120" w:after="120"/>
        <w:jc w:val="center"/>
        <w:rPr>
          <w:sz w:val="18"/>
        </w:rPr>
      </w:pPr>
      <w:r w:rsidRPr="00053887">
        <w:rPr>
          <w:noProof/>
          <w:sz w:val="18"/>
        </w:rPr>
        <w:drawing>
          <wp:inline distT="0" distB="0" distL="0" distR="0" wp14:anchorId="379A6D34" wp14:editId="2692AF33">
            <wp:extent cx="3295650" cy="2959838"/>
            <wp:effectExtent l="0" t="0" r="0" b="0"/>
            <wp:docPr id="153756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0214" cy="2963937"/>
                    </a:xfrm>
                    <a:prstGeom prst="rect">
                      <a:avLst/>
                    </a:prstGeom>
                    <a:noFill/>
                    <a:ln>
                      <a:noFill/>
                    </a:ln>
                  </pic:spPr>
                </pic:pic>
              </a:graphicData>
            </a:graphic>
          </wp:inline>
        </w:drawing>
      </w:r>
    </w:p>
    <w:p w14:paraId="5D5D2263" w14:textId="6BBBF244" w:rsidR="009E7EF6" w:rsidRPr="003E7BC7" w:rsidRDefault="005D2435" w:rsidP="003E7BC7">
      <w:pPr>
        <w:spacing w:before="120" w:after="120"/>
        <w:jc w:val="center"/>
      </w:pPr>
      <w:r>
        <w:rPr>
          <w:sz w:val="18"/>
        </w:rPr>
        <w:t xml:space="preserve">Source </w:t>
      </w:r>
      <w:r w:rsidR="009E7EF6" w:rsidRPr="00A70A09">
        <w:rPr>
          <w:sz w:val="18"/>
        </w:rPr>
        <w:t xml:space="preserve">data: Lonsec as </w:t>
      </w:r>
      <w:r w:rsidR="0023164B" w:rsidRPr="00A70A09">
        <w:rPr>
          <w:sz w:val="18"/>
        </w:rPr>
        <w:t>of</w:t>
      </w:r>
      <w:r w:rsidR="009B0E17">
        <w:rPr>
          <w:sz w:val="18"/>
        </w:rPr>
        <w:t xml:space="preserve"> </w:t>
      </w:r>
      <w:r w:rsidR="0076238E">
        <w:rPr>
          <w:sz w:val="18"/>
        </w:rPr>
        <w:t>3</w:t>
      </w:r>
      <w:r w:rsidR="00053887">
        <w:rPr>
          <w:sz w:val="18"/>
        </w:rPr>
        <w:t>0</w:t>
      </w:r>
      <w:r w:rsidR="00053887" w:rsidRPr="00053887">
        <w:rPr>
          <w:sz w:val="18"/>
          <w:vertAlign w:val="superscript"/>
        </w:rPr>
        <w:t>th</w:t>
      </w:r>
      <w:r w:rsidR="00053887">
        <w:rPr>
          <w:sz w:val="18"/>
        </w:rPr>
        <w:t xml:space="preserve"> April</w:t>
      </w:r>
      <w:r w:rsidR="00CC7292">
        <w:rPr>
          <w:sz w:val="18"/>
        </w:rPr>
        <w:t xml:space="preserve"> </w:t>
      </w:r>
      <w:r w:rsidR="00AA627D">
        <w:rPr>
          <w:sz w:val="18"/>
        </w:rPr>
        <w:t>202</w:t>
      </w:r>
      <w:r w:rsidR="006C68B8">
        <w:rPr>
          <w:sz w:val="18"/>
        </w:rPr>
        <w:t>4</w:t>
      </w:r>
    </w:p>
    <w:p w14:paraId="58FD09A7" w14:textId="7AE20C9B" w:rsidR="009E7EF6" w:rsidRDefault="009E7EF6" w:rsidP="009E7EF6">
      <w:pPr>
        <w:spacing w:before="120" w:after="120"/>
      </w:pPr>
      <w:r>
        <w:t xml:space="preserve">Over the last month, </w:t>
      </w:r>
      <w:r w:rsidR="00053887">
        <w:t>Utilities</w:t>
      </w:r>
      <w:r w:rsidR="004C3C46">
        <w:t xml:space="preserve"> </w:t>
      </w:r>
      <w:r w:rsidR="00B34A65">
        <w:t>w</w:t>
      </w:r>
      <w:r w:rsidR="00C02439">
        <w:t>as</w:t>
      </w:r>
      <w:r w:rsidR="00910A84">
        <w:t xml:space="preserve"> the </w:t>
      </w:r>
      <w:r w:rsidR="001A3D53">
        <w:t>best</w:t>
      </w:r>
      <w:r w:rsidR="00A94C92">
        <w:t xml:space="preserve"> </w:t>
      </w:r>
      <w:r w:rsidR="00BF751B">
        <w:t xml:space="preserve">performing sector </w:t>
      </w:r>
      <w:r w:rsidR="00A94C92">
        <w:t>posting</w:t>
      </w:r>
      <w:r w:rsidR="002720B5">
        <w:t xml:space="preserve"> </w:t>
      </w:r>
      <w:r w:rsidR="00D46064">
        <w:t>gains</w:t>
      </w:r>
      <w:r w:rsidR="00736488">
        <w:t xml:space="preserve"> of </w:t>
      </w:r>
      <w:r>
        <w:t>(</w:t>
      </w:r>
      <w:r w:rsidR="00D46064">
        <w:t>+</w:t>
      </w:r>
      <w:r w:rsidR="00053887">
        <w:t>4.77</w:t>
      </w:r>
      <w:r>
        <w:t>%)</w:t>
      </w:r>
      <w:r w:rsidR="00757323">
        <w:t>.</w:t>
      </w:r>
    </w:p>
    <w:p w14:paraId="1BD9D657" w14:textId="55C6ECE7" w:rsidR="00BF751B" w:rsidRDefault="00053887" w:rsidP="00BF751B">
      <w:pPr>
        <w:spacing w:before="120" w:after="120"/>
      </w:pPr>
      <w:r>
        <w:t>Real Estate Investment Trusts (REITS)</w:t>
      </w:r>
      <w:r w:rsidR="00FD1D3A">
        <w:t xml:space="preserve"> </w:t>
      </w:r>
      <w:r w:rsidR="00EE3DE2">
        <w:t>w</w:t>
      </w:r>
      <w:r w:rsidR="008A419F">
        <w:t>as</w:t>
      </w:r>
      <w:r w:rsidR="00C041DA">
        <w:t xml:space="preserve"> the </w:t>
      </w:r>
      <w:r w:rsidR="006D5106">
        <w:t xml:space="preserve">worst performing sector </w:t>
      </w:r>
      <w:r w:rsidR="00B700A9">
        <w:t>finishing</w:t>
      </w:r>
      <w:r w:rsidR="0058757B">
        <w:t xml:space="preserve"> </w:t>
      </w:r>
      <w:r w:rsidR="00BF751B">
        <w:t>(</w:t>
      </w:r>
      <w:r>
        <w:t>-7.78</w:t>
      </w:r>
      <w:r w:rsidR="00BF751B">
        <w:t>%</w:t>
      </w:r>
      <w:r w:rsidR="004A252E">
        <w:t>)</w:t>
      </w:r>
      <w:r w:rsidR="00EE6DB0">
        <w:t xml:space="preserve"> for the month</w:t>
      </w:r>
      <w:r w:rsidR="00EF3062">
        <w:t xml:space="preserve">. </w:t>
      </w:r>
    </w:p>
    <w:p w14:paraId="6051FE95" w14:textId="7E34B2D7" w:rsidR="006C68B8" w:rsidRDefault="00053887" w:rsidP="001F41D2">
      <w:pPr>
        <w:spacing w:before="120" w:after="120"/>
        <w:jc w:val="center"/>
      </w:pPr>
      <w:r w:rsidRPr="00053887">
        <w:rPr>
          <w:noProof/>
        </w:rPr>
        <w:drawing>
          <wp:inline distT="0" distB="0" distL="0" distR="0" wp14:anchorId="580C6E99" wp14:editId="1FE535C4">
            <wp:extent cx="3952875" cy="2444893"/>
            <wp:effectExtent l="0" t="0" r="0" b="0"/>
            <wp:docPr id="5523408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57931" cy="2448020"/>
                    </a:xfrm>
                    <a:prstGeom prst="rect">
                      <a:avLst/>
                    </a:prstGeom>
                    <a:noFill/>
                    <a:ln>
                      <a:noFill/>
                    </a:ln>
                  </pic:spPr>
                </pic:pic>
              </a:graphicData>
            </a:graphic>
          </wp:inline>
        </w:drawing>
      </w:r>
    </w:p>
    <w:p w14:paraId="7EE381D5" w14:textId="0515C940" w:rsidR="009E7EF6" w:rsidRDefault="006C68B8" w:rsidP="009E7EF6">
      <w:pPr>
        <w:jc w:val="center"/>
        <w:rPr>
          <w:sz w:val="18"/>
        </w:rPr>
      </w:pPr>
      <w:r>
        <w:rPr>
          <w:sz w:val="18"/>
        </w:rPr>
        <w:t>S</w:t>
      </w:r>
      <w:r w:rsidR="009E7EF6" w:rsidRPr="00A70A09">
        <w:rPr>
          <w:sz w:val="18"/>
        </w:rPr>
        <w:t xml:space="preserve">ource data: Lonsec as </w:t>
      </w:r>
      <w:r w:rsidR="0023164B" w:rsidRPr="00A70A09">
        <w:rPr>
          <w:sz w:val="18"/>
        </w:rPr>
        <w:t>of</w:t>
      </w:r>
      <w:r w:rsidR="009E7EF6" w:rsidRPr="00A70A09">
        <w:rPr>
          <w:sz w:val="18"/>
        </w:rPr>
        <w:t xml:space="preserve"> </w:t>
      </w:r>
      <w:r w:rsidR="00E67B5F">
        <w:rPr>
          <w:sz w:val="18"/>
        </w:rPr>
        <w:t>3</w:t>
      </w:r>
      <w:r w:rsidR="00053887">
        <w:rPr>
          <w:sz w:val="18"/>
        </w:rPr>
        <w:t>0</w:t>
      </w:r>
      <w:r w:rsidR="00053887" w:rsidRPr="00053887">
        <w:rPr>
          <w:sz w:val="18"/>
          <w:vertAlign w:val="superscript"/>
        </w:rPr>
        <w:t>th</w:t>
      </w:r>
      <w:r w:rsidR="00053887">
        <w:rPr>
          <w:sz w:val="18"/>
        </w:rPr>
        <w:t xml:space="preserve"> April</w:t>
      </w:r>
      <w:r w:rsidR="007D590D">
        <w:rPr>
          <w:sz w:val="18"/>
        </w:rPr>
        <w:t xml:space="preserve"> 2</w:t>
      </w:r>
      <w:r w:rsidR="00AA627D">
        <w:rPr>
          <w:sz w:val="18"/>
        </w:rPr>
        <w:t>02</w:t>
      </w:r>
      <w:r>
        <w:rPr>
          <w:sz w:val="18"/>
        </w:rPr>
        <w:t>4</w:t>
      </w:r>
    </w:p>
    <w:p w14:paraId="78F8BC4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lastRenderedPageBreak/>
        <w:t>Debt Market Returns</w:t>
      </w:r>
    </w:p>
    <w:p w14:paraId="26CC03CE" w14:textId="6663B380" w:rsidR="00585652" w:rsidRDefault="009E7EF6" w:rsidP="009E7EF6">
      <w:pPr>
        <w:spacing w:before="120" w:after="120"/>
      </w:pPr>
      <w:r>
        <w:t xml:space="preserve">Bonds and Fixed Interest markets </w:t>
      </w:r>
      <w:r w:rsidR="00F43A7D">
        <w:t>finished</w:t>
      </w:r>
      <w:r w:rsidR="00C175CC">
        <w:t xml:space="preserve"> </w:t>
      </w:r>
      <w:r w:rsidR="001846E3">
        <w:t xml:space="preserve">in </w:t>
      </w:r>
      <w:r w:rsidR="00680BB2">
        <w:t>negat</w:t>
      </w:r>
      <w:r w:rsidR="001846E3">
        <w:t xml:space="preserve">ive territory </w:t>
      </w:r>
      <w:r w:rsidR="00A52972">
        <w:t xml:space="preserve">as </w:t>
      </w:r>
      <w:r w:rsidR="008E3CF5">
        <w:t xml:space="preserve">global bond </w:t>
      </w:r>
      <w:r w:rsidR="00C175CC">
        <w:t>pr</w:t>
      </w:r>
      <w:r w:rsidR="002710BC">
        <w:t>ice</w:t>
      </w:r>
      <w:r w:rsidR="00A52972">
        <w:t xml:space="preserve">s </w:t>
      </w:r>
      <w:r w:rsidR="00680BB2">
        <w:t>pushed lower</w:t>
      </w:r>
      <w:r w:rsidR="002710BC">
        <w:t xml:space="preserve"> (</w:t>
      </w:r>
      <w:r w:rsidR="00E54896">
        <w:t xml:space="preserve">up </w:t>
      </w:r>
      <w:r w:rsidR="003C26EF">
        <w:t xml:space="preserve">in </w:t>
      </w:r>
      <w:r w:rsidR="002710BC">
        <w:t xml:space="preserve">yield) </w:t>
      </w:r>
      <w:r w:rsidR="00846741">
        <w:t xml:space="preserve">as </w:t>
      </w:r>
      <w:r w:rsidR="009C7E09">
        <w:t>C</w:t>
      </w:r>
      <w:r w:rsidR="00A52972">
        <w:t xml:space="preserve">entral </w:t>
      </w:r>
      <w:r w:rsidR="009C7E09">
        <w:t>B</w:t>
      </w:r>
      <w:r w:rsidR="00A52972">
        <w:t xml:space="preserve">ank </w:t>
      </w:r>
      <w:r w:rsidR="009C7E09">
        <w:t xml:space="preserve">hold on the cash rates </w:t>
      </w:r>
      <w:r w:rsidR="008E3CF5">
        <w:t xml:space="preserve">in </w:t>
      </w:r>
      <w:r w:rsidR="001B08D3">
        <w:t xml:space="preserve">the developed </w:t>
      </w:r>
      <w:r w:rsidR="008E3CF5">
        <w:t xml:space="preserve">countries </w:t>
      </w:r>
      <w:r w:rsidR="009C7E09">
        <w:t xml:space="preserve">and </w:t>
      </w:r>
      <w:r w:rsidR="00C02439">
        <w:t xml:space="preserve">rhetoric that suggested caution as </w:t>
      </w:r>
      <w:r w:rsidR="00E54896">
        <w:t xml:space="preserve">inflation </w:t>
      </w:r>
      <w:r w:rsidR="00C02439">
        <w:t xml:space="preserve">had </w:t>
      </w:r>
      <w:r w:rsidR="00E54896">
        <w:t xml:space="preserve">faltered and started to push higher again </w:t>
      </w:r>
      <w:r w:rsidR="00C02439">
        <w:t xml:space="preserve">caused investors to consider a longer-term timeframe for cash rates to come down. </w:t>
      </w:r>
      <w:r w:rsidR="00712A94">
        <w:t xml:space="preserve">In </w:t>
      </w:r>
      <w:r w:rsidR="00EF3062">
        <w:t>Australia,</w:t>
      </w:r>
      <w:r w:rsidR="00712A94">
        <w:t xml:space="preserve"> t</w:t>
      </w:r>
      <w:r w:rsidR="001C4340">
        <w:t xml:space="preserve">he </w:t>
      </w:r>
      <w:r w:rsidR="00585652">
        <w:t>short-</w:t>
      </w:r>
      <w:r w:rsidR="005006DD">
        <w:t>dated 2</w:t>
      </w:r>
      <w:r w:rsidR="008D78CF">
        <w:t>-year</w:t>
      </w:r>
      <w:r w:rsidR="00503D92">
        <w:t xml:space="preserve"> </w:t>
      </w:r>
      <w:r w:rsidR="0020369D">
        <w:t xml:space="preserve">Government bonds </w:t>
      </w:r>
      <w:r w:rsidR="00D072D3">
        <w:t xml:space="preserve">trading at </w:t>
      </w:r>
      <w:r w:rsidR="00E54896" w:rsidRPr="00E54896">
        <w:rPr>
          <w:b/>
          <w:bCs/>
        </w:rPr>
        <w:t>4.0</w:t>
      </w:r>
      <w:r w:rsidR="001846E3" w:rsidRPr="00E54896">
        <w:rPr>
          <w:b/>
          <w:bCs/>
        </w:rPr>
        <w:t>5</w:t>
      </w:r>
      <w:r w:rsidR="0020369D" w:rsidRPr="00E54896">
        <w:rPr>
          <w:b/>
          <w:bCs/>
        </w:rPr>
        <w:t>%</w:t>
      </w:r>
      <w:r w:rsidR="0020369D">
        <w:t xml:space="preserve"> </w:t>
      </w:r>
      <w:r w:rsidR="00C23855">
        <w:t xml:space="preserve">on the </w:t>
      </w:r>
      <w:r w:rsidR="008229BA">
        <w:t>1</w:t>
      </w:r>
      <w:r w:rsidR="00E54896">
        <w:t>4</w:t>
      </w:r>
      <w:r w:rsidR="008229BA" w:rsidRPr="008229BA">
        <w:rPr>
          <w:vertAlign w:val="superscript"/>
        </w:rPr>
        <w:t>th of</w:t>
      </w:r>
      <w:r w:rsidR="008229BA">
        <w:t xml:space="preserve"> </w:t>
      </w:r>
      <w:r w:rsidR="00E54896">
        <w:t>May</w:t>
      </w:r>
      <w:r w:rsidR="00C23855">
        <w:t xml:space="preserve"> 202</w:t>
      </w:r>
      <w:r w:rsidR="00DF6C7A">
        <w:t>4</w:t>
      </w:r>
      <w:r w:rsidR="00C23855">
        <w:t xml:space="preserve"> </w:t>
      </w:r>
      <w:r w:rsidR="0022166E">
        <w:t xml:space="preserve">and longer dated </w:t>
      </w:r>
      <w:r w:rsidR="00503D92">
        <w:t>10</w:t>
      </w:r>
      <w:r w:rsidR="008D78CF">
        <w:t>-</w:t>
      </w:r>
      <w:r w:rsidR="00503D92">
        <w:t xml:space="preserve">year </w:t>
      </w:r>
      <w:r w:rsidR="001C4340">
        <w:t xml:space="preserve">bonds </w:t>
      </w:r>
      <w:r w:rsidR="00D072D3">
        <w:t>trading</w:t>
      </w:r>
      <w:r w:rsidR="00AD47B6">
        <w:t xml:space="preserve"> at </w:t>
      </w:r>
      <w:r w:rsidR="008E3CF5" w:rsidRPr="008229BA">
        <w:rPr>
          <w:b/>
          <w:bCs/>
        </w:rPr>
        <w:t>4.</w:t>
      </w:r>
      <w:r w:rsidR="001846E3">
        <w:rPr>
          <w:b/>
          <w:bCs/>
        </w:rPr>
        <w:t>3</w:t>
      </w:r>
      <w:r w:rsidR="00E54896">
        <w:rPr>
          <w:b/>
          <w:bCs/>
        </w:rPr>
        <w:t>710</w:t>
      </w:r>
      <w:r w:rsidR="00526D92" w:rsidRPr="008229BA">
        <w:rPr>
          <w:b/>
          <w:bCs/>
        </w:rPr>
        <w:t>%</w:t>
      </w:r>
      <w:r w:rsidR="00867FD2" w:rsidRPr="008229BA">
        <w:rPr>
          <w:b/>
          <w:bCs/>
        </w:rPr>
        <w:t>.</w:t>
      </w:r>
      <w:r w:rsidR="00712A94">
        <w:t xml:space="preserve"> </w:t>
      </w:r>
    </w:p>
    <w:p w14:paraId="3C549984" w14:textId="111CF641" w:rsidR="00894706" w:rsidRDefault="00ED23CC" w:rsidP="009E7EF6">
      <w:pPr>
        <w:spacing w:before="120" w:after="120"/>
      </w:pPr>
      <w:r>
        <w:t xml:space="preserve">Global Bonds </w:t>
      </w:r>
      <w:r w:rsidR="00C51753">
        <w:t xml:space="preserve">ended </w:t>
      </w:r>
      <w:r w:rsidR="00E54896">
        <w:t>down</w:t>
      </w:r>
      <w:r w:rsidR="00BE2C9A">
        <w:t xml:space="preserve"> </w:t>
      </w:r>
      <w:r>
        <w:t>(</w:t>
      </w:r>
      <w:r w:rsidR="00E54896">
        <w:t>-1.74</w:t>
      </w:r>
      <w:r w:rsidR="00867FD2">
        <w:t>%</w:t>
      </w:r>
      <w:r>
        <w:t>) and Australia</w:t>
      </w:r>
      <w:r w:rsidR="00037BFE">
        <w:t>n Bonds</w:t>
      </w:r>
      <w:r>
        <w:t xml:space="preserve"> end</w:t>
      </w:r>
      <w:r w:rsidR="002720B5">
        <w:t>ed</w:t>
      </w:r>
      <w:r>
        <w:t xml:space="preserve"> </w:t>
      </w:r>
      <w:r w:rsidR="00E54896">
        <w:t>down</w:t>
      </w:r>
      <w:r w:rsidR="00867FD2">
        <w:t xml:space="preserve"> </w:t>
      </w:r>
      <w:r>
        <w:t>(</w:t>
      </w:r>
      <w:r w:rsidR="00E54896">
        <w:t>-1.98</w:t>
      </w:r>
      <w:r w:rsidR="00A94C92">
        <w:t>%</w:t>
      </w:r>
      <w:r>
        <w:t>) for the month</w:t>
      </w:r>
      <w:r w:rsidR="00B6686A">
        <w:t xml:space="preserve"> of </w:t>
      </w:r>
      <w:r w:rsidR="00E54896">
        <w:t>April</w:t>
      </w:r>
      <w:r w:rsidR="002F59EA">
        <w:t xml:space="preserve"> </w:t>
      </w:r>
      <w:r w:rsidR="00AA627D">
        <w:t>202</w:t>
      </w:r>
      <w:r w:rsidR="00A24C96">
        <w:t>4</w:t>
      </w:r>
      <w:r w:rsidR="0049196F">
        <w:t xml:space="preserve"> </w:t>
      </w:r>
      <w:r w:rsidR="00037BFE">
        <w:t>and</w:t>
      </w:r>
      <w:r w:rsidR="0049196F">
        <w:t xml:space="preserve"> </w:t>
      </w:r>
      <w:r w:rsidR="001846E3">
        <w:t>down</w:t>
      </w:r>
      <w:r w:rsidR="00763854">
        <w:t xml:space="preserve"> </w:t>
      </w:r>
      <w:r w:rsidR="0049196F">
        <w:t>(</w:t>
      </w:r>
      <w:r w:rsidR="001846E3">
        <w:t>-</w:t>
      </w:r>
      <w:r w:rsidR="00E54896">
        <w:t>1.91</w:t>
      </w:r>
      <w:r w:rsidR="0058031F">
        <w:t>%</w:t>
      </w:r>
      <w:r w:rsidR="0049196F">
        <w:t>) and</w:t>
      </w:r>
      <w:r w:rsidR="00AB090A">
        <w:t xml:space="preserve"> </w:t>
      </w:r>
      <w:r w:rsidR="0049196F">
        <w:t>(</w:t>
      </w:r>
      <w:r w:rsidR="00E54896">
        <w:t>-1.18</w:t>
      </w:r>
      <w:r w:rsidR="0049196F">
        <w:t xml:space="preserve">%) respectively for the </w:t>
      </w:r>
      <w:r w:rsidR="00B6686A">
        <w:t xml:space="preserve">previous three </w:t>
      </w:r>
      <w:r w:rsidR="0049196F">
        <w:t>month</w:t>
      </w:r>
      <w:r w:rsidR="00B6686A">
        <w:t>s</w:t>
      </w:r>
      <w:r w:rsidR="0049196F">
        <w:t>.</w:t>
      </w:r>
      <w:r w:rsidR="009E7EF6">
        <w:t xml:space="preserve"> </w:t>
      </w:r>
    </w:p>
    <w:p w14:paraId="570C9ACA" w14:textId="1B45E41B" w:rsidR="00455665" w:rsidRDefault="000B03C8" w:rsidP="00037046">
      <w:pPr>
        <w:spacing w:before="120" w:after="120"/>
      </w:pPr>
      <w:r>
        <w:t xml:space="preserve">The RBA </w:t>
      </w:r>
      <w:r w:rsidR="008F5FF7">
        <w:t>left</w:t>
      </w:r>
      <w:r w:rsidR="00892EB2">
        <w:t xml:space="preserve"> the </w:t>
      </w:r>
      <w:r w:rsidRPr="003B5C51">
        <w:rPr>
          <w:b/>
          <w:bCs/>
        </w:rPr>
        <w:t xml:space="preserve">target cash rate </w:t>
      </w:r>
      <w:r w:rsidR="008F5FF7">
        <w:rPr>
          <w:b/>
          <w:bCs/>
        </w:rPr>
        <w:t>at</w:t>
      </w:r>
      <w:r w:rsidR="00892EB2">
        <w:rPr>
          <w:b/>
          <w:bCs/>
        </w:rPr>
        <w:t xml:space="preserve"> </w:t>
      </w:r>
      <w:r w:rsidR="00D72327">
        <w:rPr>
          <w:b/>
          <w:bCs/>
        </w:rPr>
        <w:t>4.</w:t>
      </w:r>
      <w:r w:rsidR="00892EB2">
        <w:rPr>
          <w:b/>
          <w:bCs/>
        </w:rPr>
        <w:t>35</w:t>
      </w:r>
      <w:r w:rsidRPr="003B5C51">
        <w:rPr>
          <w:b/>
          <w:bCs/>
        </w:rPr>
        <w:t>%</w:t>
      </w:r>
      <w:r>
        <w:t xml:space="preserve"> </w:t>
      </w:r>
      <w:r w:rsidR="006C7AED">
        <w:t>follow</w:t>
      </w:r>
      <w:r>
        <w:t xml:space="preserve">ing the </w:t>
      </w:r>
      <w:r w:rsidR="00E54896">
        <w:t>7</w:t>
      </w:r>
      <w:r w:rsidR="001846E3" w:rsidRPr="001846E3">
        <w:rPr>
          <w:vertAlign w:val="superscript"/>
        </w:rPr>
        <w:t>th of</w:t>
      </w:r>
      <w:r w:rsidR="001846E3">
        <w:t xml:space="preserve"> Ma</w:t>
      </w:r>
      <w:r w:rsidR="00E54896">
        <w:t>y</w:t>
      </w:r>
      <w:r>
        <w:t xml:space="preserve"> </w:t>
      </w:r>
      <w:r w:rsidR="00781A24">
        <w:t>202</w:t>
      </w:r>
      <w:r w:rsidR="00A24C96">
        <w:t>4</w:t>
      </w:r>
      <w:r w:rsidR="00781A24">
        <w:t xml:space="preserve"> </w:t>
      </w:r>
      <w:r>
        <w:t xml:space="preserve">board </w:t>
      </w:r>
      <w:r w:rsidR="00AB090A">
        <w:t>meeting</w:t>
      </w:r>
      <w:r w:rsidR="00A653E3">
        <w:t xml:space="preserve"> and </w:t>
      </w:r>
      <w:r w:rsidR="003B5C51">
        <w:t>stated that</w:t>
      </w:r>
      <w:r w:rsidR="00AB090A">
        <w:t>:</w:t>
      </w:r>
      <w:r>
        <w:t xml:space="preserve"> </w:t>
      </w:r>
      <w:r w:rsidR="00455665">
        <w:t xml:space="preserve"> </w:t>
      </w:r>
    </w:p>
    <w:p w14:paraId="3532227A" w14:textId="77777777" w:rsidR="00E54896" w:rsidRPr="00E54896" w:rsidRDefault="00092751" w:rsidP="00E54896">
      <w:pPr>
        <w:spacing w:before="120" w:after="120"/>
        <w:ind w:left="720"/>
        <w:rPr>
          <w:rFonts w:ascii="Calibri" w:hAnsi="Calibri" w:cs="Calibri"/>
          <w:i/>
          <w:iCs/>
          <w:color w:val="222222"/>
          <w:sz w:val="24"/>
          <w:szCs w:val="24"/>
          <w:shd w:val="clear" w:color="auto" w:fill="FFFFFF"/>
        </w:rPr>
      </w:pPr>
      <w:r w:rsidRPr="00BC0D96">
        <w:rPr>
          <w:rFonts w:ascii="Calibri" w:hAnsi="Calibri" w:cs="Calibri"/>
          <w:i/>
          <w:iCs/>
          <w:color w:val="222222"/>
          <w:sz w:val="24"/>
          <w:szCs w:val="24"/>
          <w:shd w:val="clear" w:color="auto" w:fill="FFFFFF"/>
        </w:rPr>
        <w:t>“</w:t>
      </w:r>
      <w:r w:rsidR="00E54896" w:rsidRPr="00E54896">
        <w:rPr>
          <w:rFonts w:ascii="Calibri" w:hAnsi="Calibri" w:cs="Calibri"/>
          <w:i/>
          <w:iCs/>
          <w:color w:val="222222"/>
          <w:sz w:val="24"/>
          <w:szCs w:val="24"/>
          <w:shd w:val="clear" w:color="auto" w:fill="FFFFFF"/>
        </w:rPr>
        <w:t>The Board expects it will be some time before inflation is sustainably low and stable. Keeping the cash rate at the current level is important to reduce inflationary pressures.</w:t>
      </w:r>
    </w:p>
    <w:p w14:paraId="09D60DB0" w14:textId="434BB354" w:rsidR="00092751" w:rsidRDefault="00E54896" w:rsidP="00E54896">
      <w:pPr>
        <w:spacing w:before="120" w:after="120"/>
        <w:ind w:left="720"/>
      </w:pPr>
      <w:r w:rsidRPr="00E54896">
        <w:rPr>
          <w:rFonts w:ascii="Calibri" w:hAnsi="Calibri" w:cs="Calibri"/>
          <w:i/>
          <w:iCs/>
          <w:color w:val="222222"/>
          <w:sz w:val="24"/>
          <w:szCs w:val="24"/>
          <w:shd w:val="clear" w:color="auto" w:fill="FFFFFF"/>
        </w:rPr>
        <w:t>This decision supports the objectives of bringing inflation to target and the labour market to levels consistent with full employment. The path to return inflation to target will be bumpy. How interest rates evolve from here is uncertain and the Board is watching developments in Australia and overseas closely. The Board remains vigilant to the risk of continued high inflation and is not ruling anything in or out</w:t>
      </w:r>
      <w:r w:rsidR="00092751" w:rsidRPr="00BC0D96">
        <w:rPr>
          <w:rFonts w:ascii="Calibri" w:hAnsi="Calibri" w:cs="Calibri"/>
          <w:i/>
          <w:iCs/>
          <w:color w:val="222222"/>
          <w:sz w:val="24"/>
          <w:szCs w:val="24"/>
          <w:shd w:val="clear" w:color="auto" w:fill="FFFFFF"/>
        </w:rPr>
        <w:t>.”</w:t>
      </w:r>
    </w:p>
    <w:p w14:paraId="05D6E233" w14:textId="3C16C1D2" w:rsidR="00892EB2" w:rsidRPr="007E048D" w:rsidRDefault="00892EB2" w:rsidP="00892EB2">
      <w:pPr>
        <w:spacing w:before="0" w:after="0" w:line="360" w:lineRule="auto"/>
        <w:ind w:left="720"/>
        <w:rPr>
          <w:rFonts w:ascii="Calibri" w:hAnsi="Calibri" w:cs="Calibri"/>
          <w:i/>
          <w:iCs/>
          <w:color w:val="222222"/>
          <w:shd w:val="clear" w:color="auto" w:fill="FFFFFF"/>
        </w:rPr>
      </w:pPr>
      <w:bookmarkStart w:id="3" w:name="_Hlk163814096"/>
      <w:r w:rsidRPr="007E048D">
        <w:rPr>
          <w:rFonts w:ascii="Calibri" w:hAnsi="Calibri" w:cs="Calibri"/>
          <w:i/>
          <w:iCs/>
          <w:color w:val="222222"/>
          <w:shd w:val="clear" w:color="auto" w:fill="FFFFFF"/>
        </w:rPr>
        <w:t xml:space="preserve">Michelle Bullock, Governor, RBA Monetary Policy Board meeting, </w:t>
      </w:r>
      <w:r w:rsidR="00E54896">
        <w:rPr>
          <w:rFonts w:ascii="Calibri" w:hAnsi="Calibri" w:cs="Calibri"/>
          <w:i/>
          <w:iCs/>
          <w:color w:val="222222"/>
          <w:shd w:val="clear" w:color="auto" w:fill="FFFFFF"/>
        </w:rPr>
        <w:t>7</w:t>
      </w:r>
      <w:r w:rsidR="006C0F3A" w:rsidRPr="007E048D">
        <w:rPr>
          <w:rFonts w:ascii="Calibri" w:hAnsi="Calibri" w:cs="Calibri"/>
          <w:i/>
          <w:iCs/>
          <w:color w:val="222222"/>
          <w:shd w:val="clear" w:color="auto" w:fill="FFFFFF"/>
          <w:vertAlign w:val="superscript"/>
        </w:rPr>
        <w:t>th</w:t>
      </w:r>
      <w:r w:rsidR="006C0F3A" w:rsidRPr="007E048D">
        <w:rPr>
          <w:rFonts w:ascii="Calibri" w:hAnsi="Calibri" w:cs="Calibri"/>
          <w:i/>
          <w:iCs/>
          <w:color w:val="222222"/>
          <w:shd w:val="clear" w:color="auto" w:fill="FFFFFF"/>
        </w:rPr>
        <w:t xml:space="preserve"> </w:t>
      </w:r>
      <w:r w:rsidR="00642822" w:rsidRPr="007E048D">
        <w:rPr>
          <w:rFonts w:ascii="Calibri" w:hAnsi="Calibri" w:cs="Calibri"/>
          <w:i/>
          <w:iCs/>
          <w:color w:val="222222"/>
          <w:shd w:val="clear" w:color="auto" w:fill="FFFFFF"/>
        </w:rPr>
        <w:t>Ma</w:t>
      </w:r>
      <w:r w:rsidR="00E54896">
        <w:rPr>
          <w:rFonts w:ascii="Calibri" w:hAnsi="Calibri" w:cs="Calibri"/>
          <w:i/>
          <w:iCs/>
          <w:color w:val="222222"/>
          <w:shd w:val="clear" w:color="auto" w:fill="FFFFFF"/>
        </w:rPr>
        <w:t>y</w:t>
      </w:r>
      <w:r w:rsidRPr="007E048D">
        <w:rPr>
          <w:rFonts w:ascii="Calibri" w:hAnsi="Calibri" w:cs="Calibri"/>
          <w:i/>
          <w:iCs/>
          <w:color w:val="222222"/>
          <w:shd w:val="clear" w:color="auto" w:fill="FFFFFF"/>
        </w:rPr>
        <w:t xml:space="preserve"> 202</w:t>
      </w:r>
      <w:r w:rsidR="00A24C96" w:rsidRPr="007E048D">
        <w:rPr>
          <w:rFonts w:ascii="Calibri" w:hAnsi="Calibri" w:cs="Calibri"/>
          <w:i/>
          <w:iCs/>
          <w:color w:val="222222"/>
          <w:shd w:val="clear" w:color="auto" w:fill="FFFFFF"/>
        </w:rPr>
        <w:t>4</w:t>
      </w:r>
      <w:r w:rsidRPr="007E048D">
        <w:rPr>
          <w:rFonts w:ascii="Calibri" w:hAnsi="Calibri" w:cs="Calibri"/>
          <w:i/>
          <w:iCs/>
          <w:color w:val="222222"/>
          <w:shd w:val="clear" w:color="auto" w:fill="FFFFFF"/>
        </w:rPr>
        <w:t>.</w:t>
      </w:r>
    </w:p>
    <w:bookmarkEnd w:id="3"/>
    <w:p w14:paraId="1AD31197" w14:textId="36CE6E24" w:rsidR="00AB090A" w:rsidRDefault="00A128A7" w:rsidP="00E418B6">
      <w:pPr>
        <w:spacing w:before="120" w:after="120"/>
      </w:pPr>
      <w:r w:rsidRPr="00A128A7">
        <w:t>The US Federal Reserve Bank (</w:t>
      </w:r>
      <w:r w:rsidR="00EB7825">
        <w:t>t</w:t>
      </w:r>
      <w:r w:rsidRPr="00A128A7">
        <w:t xml:space="preserve">he Fed) </w:t>
      </w:r>
      <w:r w:rsidR="006237DD">
        <w:t>kept</w:t>
      </w:r>
      <w:r w:rsidR="0034094D">
        <w:t xml:space="preserve"> their monetary policy </w:t>
      </w:r>
      <w:r w:rsidR="00D72327">
        <w:t xml:space="preserve">measures </w:t>
      </w:r>
      <w:r w:rsidR="006237DD">
        <w:t>on</w:t>
      </w:r>
      <w:r w:rsidR="00D72327">
        <w:t xml:space="preserve"> </w:t>
      </w:r>
      <w:r w:rsidR="0034094D">
        <w:t>hold</w:t>
      </w:r>
      <w:r w:rsidR="006237DD">
        <w:t xml:space="preserve"> by maintaining</w:t>
      </w:r>
      <w:r w:rsidRPr="00A128A7">
        <w:t xml:space="preserve"> the target range for </w:t>
      </w:r>
      <w:r w:rsidRPr="00A128A7">
        <w:rPr>
          <w:b/>
          <w:bCs/>
        </w:rPr>
        <w:t>federal funds</w:t>
      </w:r>
      <w:r w:rsidR="00E418B6">
        <w:rPr>
          <w:b/>
          <w:bCs/>
        </w:rPr>
        <w:t xml:space="preserve"> </w:t>
      </w:r>
      <w:r w:rsidR="006237DD">
        <w:rPr>
          <w:b/>
          <w:bCs/>
        </w:rPr>
        <w:t>at</w:t>
      </w:r>
      <w:r w:rsidR="000400CD">
        <w:rPr>
          <w:b/>
          <w:bCs/>
        </w:rPr>
        <w:t xml:space="preserve"> </w:t>
      </w:r>
      <w:r w:rsidR="009B1992">
        <w:rPr>
          <w:b/>
          <w:bCs/>
        </w:rPr>
        <w:t>5</w:t>
      </w:r>
      <w:r w:rsidR="002A02F8">
        <w:rPr>
          <w:b/>
          <w:bCs/>
        </w:rPr>
        <w:t>.</w:t>
      </w:r>
      <w:r w:rsidR="009A749F">
        <w:rPr>
          <w:b/>
          <w:bCs/>
        </w:rPr>
        <w:t>25</w:t>
      </w:r>
      <w:r w:rsidRPr="00A128A7">
        <w:rPr>
          <w:b/>
          <w:bCs/>
        </w:rPr>
        <w:t xml:space="preserve">% to </w:t>
      </w:r>
      <w:r w:rsidR="00DD07EB">
        <w:rPr>
          <w:b/>
          <w:bCs/>
        </w:rPr>
        <w:t>5</w:t>
      </w:r>
      <w:r w:rsidR="009B1992">
        <w:rPr>
          <w:b/>
          <w:bCs/>
        </w:rPr>
        <w:t>.</w:t>
      </w:r>
      <w:r w:rsidR="002A02F8">
        <w:rPr>
          <w:b/>
          <w:bCs/>
        </w:rPr>
        <w:t>5</w:t>
      </w:r>
      <w:r w:rsidR="009A749F">
        <w:rPr>
          <w:b/>
          <w:bCs/>
        </w:rPr>
        <w:t>0</w:t>
      </w:r>
      <w:r w:rsidRPr="00A128A7">
        <w:rPr>
          <w:b/>
          <w:bCs/>
        </w:rPr>
        <w:t>%</w:t>
      </w:r>
      <w:r w:rsidRPr="00A128A7">
        <w:t xml:space="preserve"> </w:t>
      </w:r>
      <w:r w:rsidR="00F43A7D" w:rsidRPr="00A128A7">
        <w:t>on</w:t>
      </w:r>
      <w:r w:rsidRPr="00A128A7">
        <w:t xml:space="preserve"> the </w:t>
      </w:r>
      <w:r w:rsidR="006B39A2">
        <w:t>20</w:t>
      </w:r>
      <w:r w:rsidR="00892EB2">
        <w:t xml:space="preserve"> </w:t>
      </w:r>
      <w:r w:rsidR="006B39A2">
        <w:t>March</w:t>
      </w:r>
      <w:r w:rsidR="00E3116F">
        <w:t xml:space="preserve"> 202</w:t>
      </w:r>
      <w:r w:rsidR="006237DD">
        <w:t>4</w:t>
      </w:r>
      <w:r w:rsidRPr="00A128A7">
        <w:t xml:space="preserve"> meeting. </w:t>
      </w:r>
      <w:r w:rsidR="00E418B6" w:rsidRPr="00E418B6">
        <w:t xml:space="preserve">In addition, the Committee </w:t>
      </w:r>
      <w:r w:rsidR="00385571">
        <w:t>will</w:t>
      </w:r>
      <w:r w:rsidR="000400CD">
        <w:t xml:space="preserve"> continue</w:t>
      </w:r>
      <w:r w:rsidR="00E418B6" w:rsidRPr="00E418B6">
        <w:t xml:space="preserve"> reducing its holdings of Treasury securities and agency debt and agency mortgage-backed securities</w:t>
      </w:r>
      <w:r w:rsidR="000400CD">
        <w:t>.</w:t>
      </w:r>
    </w:p>
    <w:p w14:paraId="593CB94C" w14:textId="403C419C" w:rsidR="007A5EA0" w:rsidRDefault="007A5EA0" w:rsidP="00354CB7">
      <w:pPr>
        <w:spacing w:before="120" w:after="120"/>
      </w:pPr>
      <w:r w:rsidRPr="007A5EA0">
        <w:t>The US 10-year Government bonds closed at (</w:t>
      </w:r>
      <w:r w:rsidR="00BE2C9A">
        <w:t>4.</w:t>
      </w:r>
      <w:r w:rsidR="00F22740">
        <w:t>682</w:t>
      </w:r>
      <w:r w:rsidRPr="007A5EA0">
        <w:t xml:space="preserve">%) for the </w:t>
      </w:r>
      <w:r w:rsidR="00C175CC">
        <w:t>month</w:t>
      </w:r>
      <w:r w:rsidRPr="007A5EA0">
        <w:t xml:space="preserve"> </w:t>
      </w:r>
      <w:r w:rsidR="00F22740">
        <w:t>up</w:t>
      </w:r>
      <w:r w:rsidRPr="007A5EA0">
        <w:t xml:space="preserve"> in yield (</w:t>
      </w:r>
      <w:r w:rsidR="00EB3A29">
        <w:t>+</w:t>
      </w:r>
      <w:r w:rsidR="000310AB">
        <w:t>0.</w:t>
      </w:r>
      <w:r w:rsidR="00092751">
        <w:t>4</w:t>
      </w:r>
      <w:r w:rsidR="00F22740">
        <w:t>72</w:t>
      </w:r>
      <w:r w:rsidRPr="007A5EA0">
        <w:t xml:space="preserve">%) from the previous </w:t>
      </w:r>
      <w:r>
        <w:t>month</w:t>
      </w:r>
      <w:r w:rsidRPr="007A5EA0">
        <w:t xml:space="preserve"> close of </w:t>
      </w:r>
      <w:r w:rsidR="002F043F">
        <w:t>(</w:t>
      </w:r>
      <w:r w:rsidR="00092751">
        <w:t>4.2</w:t>
      </w:r>
      <w:r w:rsidR="00F22740">
        <w:t>1</w:t>
      </w:r>
      <w:r w:rsidRPr="007A5EA0">
        <w:t xml:space="preserve">%). </w:t>
      </w:r>
    </w:p>
    <w:p w14:paraId="7B169699" w14:textId="34101352" w:rsidR="007A5EA0" w:rsidRPr="00D341D7" w:rsidRDefault="007A5EA0" w:rsidP="007A5EA0">
      <w:pPr>
        <w:spacing w:before="120" w:after="120" w:line="240" w:lineRule="auto"/>
      </w:pPr>
      <w:r w:rsidRPr="00D341D7">
        <w:t xml:space="preserve">The Australian Government 10-year bonds finished </w:t>
      </w:r>
      <w:r w:rsidR="00F22740">
        <w:t>higher</w:t>
      </w:r>
      <w:r w:rsidRPr="00D341D7">
        <w:t xml:space="preserve"> in yield in</w:t>
      </w:r>
      <w:r w:rsidR="00767F50">
        <w:t xml:space="preserve"> </w:t>
      </w:r>
      <w:r w:rsidR="00F22740">
        <w:t>April</w:t>
      </w:r>
      <w:r w:rsidRPr="00D341D7">
        <w:t xml:space="preserve"> 202</w:t>
      </w:r>
      <w:r w:rsidR="00EB3A29">
        <w:t>4</w:t>
      </w:r>
      <w:r w:rsidRPr="00D341D7">
        <w:t xml:space="preserve"> at (</w:t>
      </w:r>
      <w:r w:rsidR="00EB3A29">
        <w:t>4.</w:t>
      </w:r>
      <w:r w:rsidR="00F22740">
        <w:t>533</w:t>
      </w:r>
      <w:r w:rsidRPr="00D341D7">
        <w:t xml:space="preserve">%) </w:t>
      </w:r>
      <w:r w:rsidR="00F22740">
        <w:t>up</w:t>
      </w:r>
      <w:r w:rsidR="00702885">
        <w:t xml:space="preserve"> </w:t>
      </w:r>
      <w:r w:rsidR="00C175CC">
        <w:t xml:space="preserve">in yield </w:t>
      </w:r>
      <w:r w:rsidRPr="00D341D7">
        <w:t>(</w:t>
      </w:r>
      <w:r w:rsidR="00F22740">
        <w:t>+0.532</w:t>
      </w:r>
      <w:r w:rsidRPr="00D341D7">
        <w:t>) from (</w:t>
      </w:r>
      <w:r w:rsidR="00BE2C9A">
        <w:t>4.</w:t>
      </w:r>
      <w:r w:rsidR="00F22740">
        <w:t>0001</w:t>
      </w:r>
      <w:r w:rsidRPr="00D341D7">
        <w:t xml:space="preserve">%) in </w:t>
      </w:r>
      <w:r w:rsidR="00F22740">
        <w:t>March</w:t>
      </w:r>
      <w:r w:rsidRPr="00D341D7">
        <w:t xml:space="preserve"> 202</w:t>
      </w:r>
      <w:r w:rsidR="00BE2C9A">
        <w:t>4</w:t>
      </w:r>
      <w:r w:rsidRPr="00D341D7">
        <w:t xml:space="preserve">. </w:t>
      </w:r>
    </w:p>
    <w:p w14:paraId="2FF27718" w14:textId="665BEF56" w:rsidR="009E7EF6" w:rsidRDefault="00196E07" w:rsidP="009E7EF6">
      <w:pPr>
        <w:spacing w:before="120" w:after="120"/>
        <w:jc w:val="center"/>
      </w:pPr>
      <w:r w:rsidRPr="00196E07">
        <w:rPr>
          <w:noProof/>
        </w:rPr>
        <w:lastRenderedPageBreak/>
        <w:drawing>
          <wp:inline distT="0" distB="0" distL="0" distR="0" wp14:anchorId="0B76E2A0" wp14:editId="4BD931E5">
            <wp:extent cx="4362450" cy="1638300"/>
            <wp:effectExtent l="0" t="0" r="0" b="0"/>
            <wp:docPr id="816046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62450" cy="1638300"/>
                    </a:xfrm>
                    <a:prstGeom prst="rect">
                      <a:avLst/>
                    </a:prstGeom>
                    <a:noFill/>
                    <a:ln>
                      <a:noFill/>
                    </a:ln>
                  </pic:spPr>
                </pic:pic>
              </a:graphicData>
            </a:graphic>
          </wp:inline>
        </w:drawing>
      </w:r>
    </w:p>
    <w:p w14:paraId="03CFA4CC" w14:textId="2D920B61" w:rsidR="009E7EF6" w:rsidRPr="00A70A09" w:rsidRDefault="009E7EF6" w:rsidP="009E7EF6">
      <w:pPr>
        <w:jc w:val="center"/>
        <w:rPr>
          <w:sz w:val="18"/>
        </w:rPr>
      </w:pPr>
      <w:r w:rsidRPr="00A70A09">
        <w:rPr>
          <w:sz w:val="18"/>
        </w:rPr>
        <w:t xml:space="preserve">Source data: Lonsec as </w:t>
      </w:r>
      <w:r w:rsidR="0023164B" w:rsidRPr="00A70A09">
        <w:rPr>
          <w:sz w:val="18"/>
        </w:rPr>
        <w:t>of</w:t>
      </w:r>
      <w:r w:rsidRPr="00A70A09">
        <w:rPr>
          <w:sz w:val="18"/>
        </w:rPr>
        <w:t xml:space="preserve"> </w:t>
      </w:r>
      <w:r w:rsidR="00092751">
        <w:rPr>
          <w:sz w:val="18"/>
        </w:rPr>
        <w:t>3</w:t>
      </w:r>
      <w:r w:rsidR="00196E07">
        <w:rPr>
          <w:sz w:val="18"/>
        </w:rPr>
        <w:t>0</w:t>
      </w:r>
      <w:r w:rsidR="00196E07" w:rsidRPr="00196E07">
        <w:rPr>
          <w:sz w:val="18"/>
          <w:vertAlign w:val="superscript"/>
        </w:rPr>
        <w:t>th</w:t>
      </w:r>
      <w:r w:rsidR="00196E07">
        <w:rPr>
          <w:sz w:val="18"/>
        </w:rPr>
        <w:t xml:space="preserve"> April</w:t>
      </w:r>
      <w:r w:rsidR="009B1992">
        <w:rPr>
          <w:sz w:val="18"/>
        </w:rPr>
        <w:t xml:space="preserve"> </w:t>
      </w:r>
      <w:r w:rsidR="00AA627D">
        <w:rPr>
          <w:sz w:val="18"/>
        </w:rPr>
        <w:t>202</w:t>
      </w:r>
      <w:r w:rsidR="000D513F">
        <w:rPr>
          <w:sz w:val="18"/>
        </w:rPr>
        <w:t>4</w:t>
      </w:r>
    </w:p>
    <w:p w14:paraId="0988FFF2" w14:textId="77777777" w:rsidR="009E7EF6" w:rsidRPr="002C183C" w:rsidRDefault="009E7EF6" w:rsidP="00A70A09">
      <w:pPr>
        <w:pStyle w:val="Heading2"/>
        <w:spacing w:before="0" w:after="0"/>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Currency</w:t>
      </w:r>
    </w:p>
    <w:p w14:paraId="67CFAFAB" w14:textId="04BA1DA9" w:rsidR="009E7EF6" w:rsidRDefault="009E7EF6" w:rsidP="00A70A09">
      <w:pPr>
        <w:spacing w:before="0" w:after="0"/>
      </w:pPr>
      <w:r>
        <w:t xml:space="preserve">The </w:t>
      </w:r>
      <w:r w:rsidR="00590B4A">
        <w:t>$</w:t>
      </w:r>
      <w:r>
        <w:t xml:space="preserve">A closed </w:t>
      </w:r>
      <w:r w:rsidR="00F61D2D">
        <w:t>weak</w:t>
      </w:r>
      <w:r w:rsidR="009452BE">
        <w:t>er</w:t>
      </w:r>
      <w:r w:rsidR="009B1992">
        <w:t xml:space="preserve"> </w:t>
      </w:r>
      <w:r w:rsidR="00590B4A">
        <w:t xml:space="preserve">AUD/USD </w:t>
      </w:r>
      <w:r>
        <w:t>0.</w:t>
      </w:r>
      <w:r w:rsidR="003638C4">
        <w:t>6</w:t>
      </w:r>
      <w:r w:rsidR="000D513F">
        <w:t>5</w:t>
      </w:r>
      <w:r w:rsidR="00F61D2D">
        <w:t>25</w:t>
      </w:r>
      <w:r>
        <w:t xml:space="preserve"> at the end of </w:t>
      </w:r>
      <w:r w:rsidR="00F61D2D">
        <w:t>April</w:t>
      </w:r>
      <w:r w:rsidR="00AA627D">
        <w:t xml:space="preserve"> 202</w:t>
      </w:r>
      <w:r w:rsidR="000D513F">
        <w:t>4</w:t>
      </w:r>
      <w:r>
        <w:t xml:space="preserve"> which </w:t>
      </w:r>
      <w:r w:rsidR="00F61D2D">
        <w:t>benefitted</w:t>
      </w:r>
      <w:r>
        <w:t xml:space="preserve"> investors who held offshore assets unhedged (</w:t>
      </w:r>
      <w:r w:rsidR="00F61D2D">
        <w:t>+0.11</w:t>
      </w:r>
      <w:r>
        <w:t xml:space="preserve">%) over the </w:t>
      </w:r>
      <w:r w:rsidR="00CE6ADD">
        <w:t xml:space="preserve">month </w:t>
      </w:r>
      <w:r w:rsidR="00DE0182">
        <w:t>and</w:t>
      </w:r>
      <w:r w:rsidR="00CA7193">
        <w:t xml:space="preserve"> </w:t>
      </w:r>
      <w:r w:rsidR="009452BE">
        <w:t xml:space="preserve">benefitted them </w:t>
      </w:r>
      <w:r w:rsidR="00CE6ADD">
        <w:t>(</w:t>
      </w:r>
      <w:r w:rsidR="00BE2C9A">
        <w:t>+</w:t>
      </w:r>
      <w:r w:rsidR="00F61D2D">
        <w:t>0.75</w:t>
      </w:r>
      <w:r w:rsidR="00CE6ADD">
        <w:t>%</w:t>
      </w:r>
      <w:r w:rsidR="0088021D">
        <w:t>)</w:t>
      </w:r>
      <w:r w:rsidR="00CE6ADD">
        <w:t xml:space="preserve"> </w:t>
      </w:r>
      <w:r w:rsidR="0088021D">
        <w:t xml:space="preserve">over the </w:t>
      </w:r>
      <w:r>
        <w:t>last three months.</w:t>
      </w:r>
    </w:p>
    <w:p w14:paraId="61BE8DE3" w14:textId="11A8F7AD" w:rsidR="004D2D2C" w:rsidRDefault="005006DD" w:rsidP="004D2D2C">
      <w:pPr>
        <w:jc w:val="center"/>
      </w:pPr>
      <w:r>
        <w:rPr>
          <w:noProof/>
        </w:rPr>
        <mc:AlternateContent>
          <mc:Choice Requires="wps">
            <w:drawing>
              <wp:anchor distT="45720" distB="45720" distL="114300" distR="114300" simplePos="0" relativeHeight="251659264" behindDoc="0" locked="0" layoutInCell="1" allowOverlap="1" wp14:anchorId="7430CB9B" wp14:editId="49F330EE">
                <wp:simplePos x="0" y="0"/>
                <wp:positionH relativeFrom="column">
                  <wp:posOffset>3067050</wp:posOffset>
                </wp:positionH>
                <wp:positionV relativeFrom="paragraph">
                  <wp:posOffset>229870</wp:posOffset>
                </wp:positionV>
                <wp:extent cx="2275205" cy="1600835"/>
                <wp:effectExtent l="0" t="0" r="0" b="0"/>
                <wp:wrapSquare wrapText="bothSides"/>
                <wp:docPr id="5223261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1600835"/>
                        </a:xfrm>
                        <a:prstGeom prst="rect">
                          <a:avLst/>
                        </a:prstGeom>
                        <a:solidFill>
                          <a:srgbClr val="FFFFFF"/>
                        </a:solidFill>
                        <a:ln w="9525">
                          <a:solidFill>
                            <a:srgbClr val="000000"/>
                          </a:solidFill>
                          <a:miter lim="800000"/>
                          <a:headEnd/>
                          <a:tailEnd/>
                        </a:ln>
                      </wps:spPr>
                      <wps:txbx>
                        <w:txbxContent>
                          <w:p w14:paraId="6A711360" w14:textId="1C4CBF5B" w:rsidR="00D63481" w:rsidRDefault="00D63481" w:rsidP="00D63481">
                            <w:pPr>
                              <w:spacing w:before="0"/>
                            </w:pPr>
                            <w:r w:rsidRPr="008F12F3">
                              <w:t xml:space="preserve">Currency forecasters see the AUD/USD range between </w:t>
                            </w:r>
                            <w:r w:rsidRPr="00D63481">
                              <w:rPr>
                                <w:b/>
                                <w:bCs/>
                              </w:rPr>
                              <w:t>0.6250 and 0.7250</w:t>
                            </w:r>
                            <w:r w:rsidRPr="008F12F3">
                              <w:t xml:space="preserve"> cents in the medium term</w:t>
                            </w:r>
                            <w:r>
                              <w:t xml:space="preserve"> and most likely to trade within the </w:t>
                            </w:r>
                            <w:r w:rsidRPr="00D63481">
                              <w:rPr>
                                <w:b/>
                                <w:bCs/>
                              </w:rPr>
                              <w:t>0.5500 to 0.7500</w:t>
                            </w:r>
                            <w:r>
                              <w:t xml:space="preserve"> range in the longer term.</w:t>
                            </w:r>
                          </w:p>
                          <w:p w14:paraId="25E5B1F4" w14:textId="2C6AE7D6" w:rsidR="009452BE" w:rsidRDefault="009452B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430CB9B" id="Text Box 1" o:spid="_x0000_s1027" type="#_x0000_t202" style="position:absolute;left:0;text-align:left;margin-left:241.5pt;margin-top:18.1pt;width:179.15pt;height:126.0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rFAIAACcEAAAOAAAAZHJzL2Uyb0RvYy54bWysk99v2yAQx98n7X9AvC92vLhNrThVly7T&#10;pO6H1O4PwBjHaJhjQGJnf30P7KZZt71M4wFxHHy5+9yxuh46RQ7COgm6pPNZSonQHGqpdyX99rB9&#10;s6TEeaZrpkCLkh6Fo9fr169WvSlEBi2oWliCItoVvSlp670pksTxVnTMzcAIjc4GbMc8mnaX1Jb1&#10;qN6pJEvTi6QHWxsLXDiHu7ejk66jftMI7r80jROeqJJibD7ONs5VmJP1ihU7y0wr+RQG+4coOiY1&#10;PnqSumWekb2Vv0l1kltw0PgZhy6BppFcxBwwm3n6Ipv7lhkRc0E4zpwwuf8nyz8f7s1XS/zwDgYs&#10;YEzCmTvg3x3RsGmZ3okba6FvBavx4XlAlvTGFdPVgNoVLohU/Seoschs7yEKDY3tAhXMk6A6FuB4&#10;gi4GTzhuZtllnqU5JRx984s0Xb7N4xuseLpurPMfBHQkLEpqsapRnh3unA/hsOLpSHjNgZL1VioV&#10;DburNsqSA8MO2MYxqf9yTGnSl/Qqz/KRwF8l0jj+JNFJj62sZFfS5ekQKwK397qOjeaZVOMaQ1Z6&#10;AhnYjRT9UA1E1hPlwLWC+ohkLYydiz8NFy3Yn5T02LUldT/2zApK1EeN1bmaLxahzaOxyC8zNOy5&#10;pzr3MM1RqqSeknG58fFrRG7mBqu4lZHvcyRTyNiNEfv0c0K7n9vx1PP/Xj8CAAD//wMAUEsDBBQA&#10;BgAIAAAAIQBPFfXM3gAAAAoBAAAPAAAAZHJzL2Rvd25yZXYueG1sTI9BT4QwFITvJv6H5pl4c8sC&#10;IQ1SNhui101212Svb2kFtH1FWlj899aTHiczmfmm2q3WsEVPfnAkYbtJgGlqnRqok/B2fn0SwHxA&#10;UmgcaQnf2sOuvr+rsFTuRke9nELHYgn5EiX0IYwl577ttUW/caOm6L27yWKIcuq4mvAWy63haZIU&#10;3OJAcaHHUTe9bj9Ps5Uwn5v9cmzSj8tyUPmheEGL5kvKx4d1/wws6DX8heEXP6JDHZmubiblmZGQ&#10;iyx+CRKyIgUWAyLfZsCuElIhMuB1xf9fqH8AAAD//wMAUEsBAi0AFAAGAAgAAAAhALaDOJL+AAAA&#10;4QEAABMAAAAAAAAAAAAAAAAAAAAAAFtDb250ZW50X1R5cGVzXS54bWxQSwECLQAUAAYACAAAACEA&#10;OP0h/9YAAACUAQAACwAAAAAAAAAAAAAAAAAvAQAAX3JlbHMvLnJlbHNQSwECLQAUAAYACAAAACEA&#10;9n/pKxQCAAAnBAAADgAAAAAAAAAAAAAAAAAuAgAAZHJzL2Uyb0RvYy54bWxQSwECLQAUAAYACAAA&#10;ACEATxX1zN4AAAAKAQAADwAAAAAAAAAAAAAAAABuBAAAZHJzL2Rvd25yZXYueG1sUEsFBgAAAAAE&#10;AAQA8wAAAHkFAAAAAA==&#10;">
                <v:textbox style="mso-fit-shape-to-text:t">
                  <w:txbxContent>
                    <w:p w14:paraId="6A711360" w14:textId="1C4CBF5B" w:rsidR="00D63481" w:rsidRDefault="00D63481" w:rsidP="00D63481">
                      <w:pPr>
                        <w:spacing w:before="0"/>
                      </w:pPr>
                      <w:r w:rsidRPr="008F12F3">
                        <w:t xml:space="preserve">Currency forecasters see the AUD/USD range between </w:t>
                      </w:r>
                      <w:r w:rsidRPr="00D63481">
                        <w:rPr>
                          <w:b/>
                          <w:bCs/>
                        </w:rPr>
                        <w:t>0.6250 and 0.7250</w:t>
                      </w:r>
                      <w:r w:rsidRPr="008F12F3">
                        <w:t xml:space="preserve"> cents in the medium term</w:t>
                      </w:r>
                      <w:r>
                        <w:t xml:space="preserve"> and most likely to trade within the </w:t>
                      </w:r>
                      <w:r w:rsidRPr="00D63481">
                        <w:rPr>
                          <w:b/>
                          <w:bCs/>
                        </w:rPr>
                        <w:t>0.5500 to 0.7500</w:t>
                      </w:r>
                      <w:r>
                        <w:t xml:space="preserve"> range in the longer term.</w:t>
                      </w:r>
                    </w:p>
                    <w:p w14:paraId="25E5B1F4" w14:textId="2C6AE7D6" w:rsidR="009452BE" w:rsidRDefault="009452BE"/>
                  </w:txbxContent>
                </v:textbox>
                <w10:wrap type="square"/>
              </v:shape>
            </w:pict>
          </mc:Fallback>
        </mc:AlternateContent>
      </w:r>
      <w:r w:rsidR="00F61D2D" w:rsidRPr="00F61D2D">
        <w:rPr>
          <w:noProof/>
        </w:rPr>
        <w:drawing>
          <wp:inline distT="0" distB="0" distL="0" distR="0" wp14:anchorId="01B15BD1" wp14:editId="2FA5066C">
            <wp:extent cx="2771775" cy="2266950"/>
            <wp:effectExtent l="0" t="0" r="0" b="0"/>
            <wp:docPr id="7308021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1775" cy="2266950"/>
                    </a:xfrm>
                    <a:prstGeom prst="rect">
                      <a:avLst/>
                    </a:prstGeom>
                    <a:noFill/>
                    <a:ln>
                      <a:noFill/>
                    </a:ln>
                  </pic:spPr>
                </pic:pic>
              </a:graphicData>
            </a:graphic>
          </wp:inline>
        </w:drawing>
      </w:r>
    </w:p>
    <w:p w14:paraId="178A1257" w14:textId="77777777" w:rsidR="009E7EF6" w:rsidRPr="008275F0" w:rsidRDefault="009E7EF6" w:rsidP="006B4F76">
      <w:pPr>
        <w:pStyle w:val="Heading2"/>
        <w:spacing w:before="0"/>
        <w:rPr>
          <w:rFonts w:asciiTheme="minorHAnsi" w:eastAsiaTheme="minorEastAsia" w:hAnsiTheme="minorHAnsi" w:cstheme="minorBidi"/>
          <w:iCs w:val="0"/>
          <w:color w:val="414042" w:themeColor="text1"/>
          <w:sz w:val="22"/>
          <w:lang w:val="en-AU" w:bidi="ar-SA"/>
        </w:rPr>
      </w:pPr>
      <w:r w:rsidRPr="008275F0">
        <w:rPr>
          <w:rFonts w:asciiTheme="minorHAnsi" w:eastAsiaTheme="minorEastAsia" w:hAnsiTheme="minorHAnsi" w:cstheme="minorBidi"/>
          <w:iCs w:val="0"/>
          <w:color w:val="414042" w:themeColor="text1"/>
          <w:sz w:val="22"/>
          <w:lang w:val="en-AU" w:bidi="ar-SA"/>
        </w:rPr>
        <w:t>Australian Economy</w:t>
      </w:r>
    </w:p>
    <w:p w14:paraId="26EE5924" w14:textId="5781A765" w:rsidR="009E7EF6" w:rsidRDefault="00E83078" w:rsidP="00A70A09">
      <w:pPr>
        <w:spacing w:before="0" w:after="240"/>
      </w:pPr>
      <w:r w:rsidRPr="00E83078">
        <w:t xml:space="preserve">Australia’s latest GDP data for the </w:t>
      </w:r>
      <w:r w:rsidR="001F699A">
        <w:t>fourth</w:t>
      </w:r>
      <w:r w:rsidRPr="00E83078">
        <w:t xml:space="preserve"> quarter of 202</w:t>
      </w:r>
      <w:r w:rsidR="00EB7825">
        <w:t>3</w:t>
      </w:r>
      <w:r w:rsidRPr="00E83078">
        <w:t xml:space="preserve"> revealed an </w:t>
      </w:r>
      <w:r w:rsidRPr="00E83078">
        <w:rPr>
          <w:b/>
          <w:bCs/>
        </w:rPr>
        <w:t xml:space="preserve">annual growth rate of </w:t>
      </w:r>
      <w:r w:rsidR="001F699A">
        <w:rPr>
          <w:b/>
          <w:bCs/>
        </w:rPr>
        <w:t>1.5</w:t>
      </w:r>
      <w:r w:rsidRPr="00E83078">
        <w:rPr>
          <w:b/>
          <w:bCs/>
        </w:rPr>
        <w:t>%</w:t>
      </w:r>
      <w:r w:rsidRPr="00E83078">
        <w:t xml:space="preserve"> which was </w:t>
      </w:r>
      <w:r w:rsidR="001F699A">
        <w:t>down</w:t>
      </w:r>
      <w:r w:rsidR="002656F2">
        <w:t xml:space="preserve"> f</w:t>
      </w:r>
      <w:r w:rsidRPr="00E83078">
        <w:t xml:space="preserve">rom </w:t>
      </w:r>
      <w:r w:rsidR="001F699A">
        <w:t xml:space="preserve">2.10% in the third </w:t>
      </w:r>
      <w:r w:rsidRPr="00E83078">
        <w:t>quarter of 202</w:t>
      </w:r>
      <w:r w:rsidR="006A288D">
        <w:t>3</w:t>
      </w:r>
      <w:r w:rsidR="002656F2">
        <w:t>.</w:t>
      </w:r>
      <w:r w:rsidRPr="00E83078">
        <w:t xml:space="preserve"> Unemployment </w:t>
      </w:r>
      <w:r w:rsidR="00A7764C">
        <w:t>in</w:t>
      </w:r>
      <w:r w:rsidR="009452BE">
        <w:t>c</w:t>
      </w:r>
      <w:r w:rsidR="0089173A">
        <w:t>reased</w:t>
      </w:r>
      <w:r w:rsidR="009F26B6">
        <w:t xml:space="preserve"> to </w:t>
      </w:r>
      <w:r w:rsidR="009452BE">
        <w:t>3.</w:t>
      </w:r>
      <w:r w:rsidR="00A7764C">
        <w:t>8</w:t>
      </w:r>
      <w:r w:rsidR="00481C63">
        <w:t xml:space="preserve">% </w:t>
      </w:r>
      <w:r w:rsidRPr="00E83078">
        <w:t xml:space="preserve">in </w:t>
      </w:r>
      <w:r w:rsidR="00A7764C">
        <w:t>April</w:t>
      </w:r>
      <w:r w:rsidRPr="00E83078">
        <w:t xml:space="preserve"> 202</w:t>
      </w:r>
      <w:r w:rsidR="0089173A">
        <w:t>4</w:t>
      </w:r>
      <w:r w:rsidR="009F26B6">
        <w:t xml:space="preserve"> from </w:t>
      </w:r>
      <w:r w:rsidR="00A7764C">
        <w:t>3.7</w:t>
      </w:r>
      <w:r w:rsidR="009F26B6">
        <w:t>%</w:t>
      </w:r>
      <w:r w:rsidR="009452BE">
        <w:t xml:space="preserve"> In </w:t>
      </w:r>
      <w:r w:rsidR="00A7764C">
        <w:t>March</w:t>
      </w:r>
      <w:r w:rsidR="009452BE">
        <w:t xml:space="preserve"> 2024</w:t>
      </w:r>
      <w:r w:rsidR="00172387">
        <w:t>.</w:t>
      </w:r>
      <w:r w:rsidRPr="00E83078">
        <w:t xml:space="preserve"> The </w:t>
      </w:r>
      <w:r w:rsidR="001918FE" w:rsidRPr="007D7864">
        <w:rPr>
          <w:b/>
          <w:bCs/>
        </w:rPr>
        <w:t xml:space="preserve">inflation rate eased to </w:t>
      </w:r>
      <w:r w:rsidR="00A7764C">
        <w:rPr>
          <w:b/>
          <w:bCs/>
        </w:rPr>
        <w:t>3.6</w:t>
      </w:r>
      <w:r w:rsidR="001918FE" w:rsidRPr="007D7864">
        <w:rPr>
          <w:b/>
          <w:bCs/>
        </w:rPr>
        <w:t>%</w:t>
      </w:r>
      <w:r w:rsidR="001918FE">
        <w:t xml:space="preserve"> in the f</w:t>
      </w:r>
      <w:r w:rsidR="00A7764C">
        <w:t>irst</w:t>
      </w:r>
      <w:r w:rsidR="001918FE">
        <w:t xml:space="preserve"> quarter of 202</w:t>
      </w:r>
      <w:r w:rsidR="00A7764C">
        <w:t>4</w:t>
      </w:r>
      <w:r w:rsidR="001918FE">
        <w:t xml:space="preserve"> down from </w:t>
      </w:r>
      <w:r w:rsidR="00A7764C">
        <w:t>4.1</w:t>
      </w:r>
      <w:r w:rsidR="001918FE">
        <w:t xml:space="preserve">% in the </w:t>
      </w:r>
      <w:r w:rsidR="00A7764C">
        <w:t>fourth</w:t>
      </w:r>
      <w:r w:rsidR="001918FE">
        <w:t xml:space="preserve"> quarter 2023, </w:t>
      </w:r>
      <w:r w:rsidR="009E7EF6">
        <w:t xml:space="preserve">which is </w:t>
      </w:r>
      <w:r w:rsidR="008214C4">
        <w:t>above</w:t>
      </w:r>
      <w:r w:rsidR="00892627">
        <w:t xml:space="preserve"> the </w:t>
      </w:r>
      <w:r w:rsidR="009E7EF6">
        <w:t>Reserve Bank’s targeted 2% to 3% target range.</w:t>
      </w:r>
      <w:r w:rsidR="009E7EF6" w:rsidRPr="00954E33">
        <w:t xml:space="preserve"> </w:t>
      </w:r>
    </w:p>
    <w:p w14:paraId="2527D827" w14:textId="39BFFCCB" w:rsidR="00147535" w:rsidRDefault="00275C7E" w:rsidP="00C96BC6">
      <w:pPr>
        <w:pStyle w:val="Heading2"/>
        <w:jc w:val="center"/>
        <w:rPr>
          <w:b w:val="0"/>
          <w:bCs w:val="0"/>
        </w:rPr>
      </w:pPr>
      <w:r w:rsidRPr="00275C7E">
        <w:rPr>
          <w:b w:val="0"/>
          <w:bCs w:val="0"/>
          <w:noProof/>
        </w:rPr>
        <w:lastRenderedPageBreak/>
        <w:drawing>
          <wp:inline distT="0" distB="0" distL="0" distR="0" wp14:anchorId="20DE485B" wp14:editId="07822777">
            <wp:extent cx="2733675" cy="2306228"/>
            <wp:effectExtent l="0" t="0" r="0" b="0"/>
            <wp:docPr id="14931390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6007" cy="2308195"/>
                    </a:xfrm>
                    <a:prstGeom prst="rect">
                      <a:avLst/>
                    </a:prstGeom>
                    <a:noFill/>
                    <a:ln>
                      <a:noFill/>
                    </a:ln>
                  </pic:spPr>
                </pic:pic>
              </a:graphicData>
            </a:graphic>
          </wp:inline>
        </w:drawing>
      </w:r>
      <w:r w:rsidR="00907005" w:rsidRPr="00907005">
        <w:rPr>
          <w:b w:val="0"/>
          <w:bCs w:val="0"/>
        </w:rPr>
        <w:t xml:space="preserve"> </w:t>
      </w:r>
      <w:r w:rsidRPr="00275C7E">
        <w:rPr>
          <w:b w:val="0"/>
          <w:bCs w:val="0"/>
          <w:noProof/>
        </w:rPr>
        <w:drawing>
          <wp:inline distT="0" distB="0" distL="0" distR="0" wp14:anchorId="376ECDC3" wp14:editId="4B55E85C">
            <wp:extent cx="2543175" cy="2362200"/>
            <wp:effectExtent l="0" t="0" r="0" b="0"/>
            <wp:docPr id="17365121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3175" cy="2362200"/>
                    </a:xfrm>
                    <a:prstGeom prst="rect">
                      <a:avLst/>
                    </a:prstGeom>
                    <a:noFill/>
                    <a:ln>
                      <a:noFill/>
                    </a:ln>
                  </pic:spPr>
                </pic:pic>
              </a:graphicData>
            </a:graphic>
          </wp:inline>
        </w:drawing>
      </w:r>
    </w:p>
    <w:p w14:paraId="13598D04" w14:textId="2D54B170" w:rsidR="009E7EF6" w:rsidRPr="002C183C" w:rsidRDefault="00147535"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t>Curr</w:t>
      </w:r>
      <w:r w:rsidR="009E7EF6" w:rsidRPr="002C183C">
        <w:rPr>
          <w:rFonts w:asciiTheme="minorHAnsi" w:eastAsiaTheme="minorEastAsia" w:hAnsiTheme="minorHAnsi" w:cstheme="minorBidi"/>
          <w:iCs w:val="0"/>
          <w:color w:val="414042" w:themeColor="text1"/>
          <w:sz w:val="22"/>
          <w:lang w:val="en-AU" w:bidi="ar-SA"/>
        </w:rPr>
        <w:t>ent Market View</w:t>
      </w:r>
    </w:p>
    <w:p w14:paraId="6D8387E0" w14:textId="77777777" w:rsidR="009E7EF6" w:rsidRPr="002C183C" w:rsidRDefault="009E7EF6" w:rsidP="009E7EF6">
      <w:pPr>
        <w:pStyle w:val="Heading3"/>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Domestic View</w:t>
      </w:r>
    </w:p>
    <w:p w14:paraId="05F2AD26" w14:textId="080F8520" w:rsidR="00D97359" w:rsidRDefault="009E7EF6" w:rsidP="00001F8C">
      <w:r>
        <w:t>The Australian share</w:t>
      </w:r>
      <w:r w:rsidR="000F2A21">
        <w:t xml:space="preserve"> market</w:t>
      </w:r>
      <w:r w:rsidR="00383326">
        <w:t xml:space="preserve"> </w:t>
      </w:r>
      <w:r w:rsidR="00275C7E">
        <w:t xml:space="preserve">pulled back from the recent highs </w:t>
      </w:r>
      <w:r w:rsidR="00C96BC6">
        <w:t xml:space="preserve">over </w:t>
      </w:r>
      <w:r w:rsidR="00275C7E">
        <w:t>April</w:t>
      </w:r>
      <w:r w:rsidR="00C96BC6">
        <w:t xml:space="preserve"> 202</w:t>
      </w:r>
      <w:r w:rsidR="00233D00">
        <w:t>4</w:t>
      </w:r>
      <w:r w:rsidR="00C96BC6">
        <w:t xml:space="preserve"> </w:t>
      </w:r>
      <w:r w:rsidR="00275C7E">
        <w:t>impacted by rising g</w:t>
      </w:r>
      <w:r w:rsidR="002903A6">
        <w:t>lobal interest rates</w:t>
      </w:r>
      <w:r w:rsidR="007B675F">
        <w:t xml:space="preserve"> </w:t>
      </w:r>
      <w:r w:rsidR="002903A6">
        <w:t xml:space="preserve">following the lead given by Central Banks that </w:t>
      </w:r>
      <w:r w:rsidR="002903A6" w:rsidRPr="002903A6">
        <w:rPr>
          <w:b/>
          <w:bCs/>
        </w:rPr>
        <w:t xml:space="preserve">interest rates </w:t>
      </w:r>
      <w:r w:rsidR="00275C7E">
        <w:rPr>
          <w:b/>
          <w:bCs/>
        </w:rPr>
        <w:t xml:space="preserve">may have to be higher for longer </w:t>
      </w:r>
      <w:r w:rsidR="00275C7E" w:rsidRPr="00275C7E">
        <w:t>following stubborn high prints for inflation</w:t>
      </w:r>
      <w:r w:rsidR="007B675F">
        <w:t xml:space="preserve">. Central Banks are cautious about the </w:t>
      </w:r>
      <w:r w:rsidR="00A3418C">
        <w:t>elevated level</w:t>
      </w:r>
      <w:r w:rsidR="007B675F">
        <w:t xml:space="preserve"> of inflation </w:t>
      </w:r>
      <w:r w:rsidR="00275C7E">
        <w:t xml:space="preserve">despite the recent year-on-year trends </w:t>
      </w:r>
      <w:r w:rsidR="007B675F">
        <w:t xml:space="preserve">and will wait for the </w:t>
      </w:r>
      <w:r w:rsidR="007B675F" w:rsidRPr="007B675F">
        <w:rPr>
          <w:b/>
          <w:bCs/>
        </w:rPr>
        <w:t>economic data to support a shift lower</w:t>
      </w:r>
      <w:r w:rsidR="007B675F">
        <w:t xml:space="preserve"> </w:t>
      </w:r>
      <w:r w:rsidR="00275C7E">
        <w:t xml:space="preserve">before easing </w:t>
      </w:r>
      <w:r w:rsidR="00233D00">
        <w:t>monetary policy.</w:t>
      </w:r>
    </w:p>
    <w:p w14:paraId="398965AD" w14:textId="425EBFCA" w:rsidR="00ED2F28" w:rsidRDefault="00C96BC6" w:rsidP="00001F8C">
      <w:r>
        <w:t>T</w:t>
      </w:r>
      <w:r w:rsidR="00A147BB">
        <w:t xml:space="preserve">he latest inflation numbers </w:t>
      </w:r>
      <w:r w:rsidR="007B675F">
        <w:t>vindicated this caution as</w:t>
      </w:r>
      <w:r w:rsidR="004273DE">
        <w:t xml:space="preserve"> </w:t>
      </w:r>
      <w:r w:rsidR="00275C7E">
        <w:t xml:space="preserve">month-on-month </w:t>
      </w:r>
      <w:r w:rsidR="004273DE">
        <w:t xml:space="preserve">inflation </w:t>
      </w:r>
      <w:r w:rsidR="007B675F">
        <w:t xml:space="preserve">shifted higher </w:t>
      </w:r>
      <w:r w:rsidR="004273DE">
        <w:t>however</w:t>
      </w:r>
      <w:r>
        <w:t xml:space="preserve"> the focus </w:t>
      </w:r>
      <w:r w:rsidR="00233D00">
        <w:t xml:space="preserve">remained </w:t>
      </w:r>
      <w:r>
        <w:t xml:space="preserve">on the potential for Central Banks to ease monetary policy in the months ahead. Pre-empting this move, </w:t>
      </w:r>
      <w:r w:rsidR="00A147BB" w:rsidRPr="00A147BB">
        <w:rPr>
          <w:b/>
          <w:bCs/>
        </w:rPr>
        <w:t xml:space="preserve">markets </w:t>
      </w:r>
      <w:r w:rsidR="00233D00">
        <w:rPr>
          <w:b/>
          <w:bCs/>
        </w:rPr>
        <w:t xml:space="preserve">need to </w:t>
      </w:r>
      <w:r w:rsidR="007B675F">
        <w:rPr>
          <w:b/>
          <w:bCs/>
        </w:rPr>
        <w:t xml:space="preserve">wait until the </w:t>
      </w:r>
      <w:r w:rsidR="00233D00">
        <w:rPr>
          <w:b/>
          <w:bCs/>
        </w:rPr>
        <w:t xml:space="preserve">economic data </w:t>
      </w:r>
      <w:r w:rsidR="007B675F">
        <w:rPr>
          <w:b/>
          <w:bCs/>
        </w:rPr>
        <w:t xml:space="preserve">supports a shift lower. </w:t>
      </w:r>
      <w:r w:rsidR="00275C7E" w:rsidRPr="00275C7E">
        <w:t>Rising</w:t>
      </w:r>
      <w:r w:rsidR="004273DE">
        <w:t xml:space="preserve"> interest rates </w:t>
      </w:r>
      <w:r w:rsidR="00275C7E">
        <w:t>have</w:t>
      </w:r>
      <w:r w:rsidR="004273DE">
        <w:t xml:space="preserve"> </w:t>
      </w:r>
      <w:r w:rsidR="00275C7E">
        <w:t>led</w:t>
      </w:r>
      <w:r w:rsidR="004273DE">
        <w:t xml:space="preserve"> to </w:t>
      </w:r>
      <w:r w:rsidR="00275C7E">
        <w:t>a pullback in the share market as implied valuations have resulted in fall</w:t>
      </w:r>
      <w:r w:rsidR="004273DE">
        <w:t>ing company valuations</w:t>
      </w:r>
      <w:r w:rsidR="00275C7E">
        <w:t>. C</w:t>
      </w:r>
      <w:r w:rsidR="00433FF5">
        <w:t xml:space="preserve">onsumer spending is </w:t>
      </w:r>
      <w:r w:rsidR="00275C7E">
        <w:t>finally</w:t>
      </w:r>
      <w:r w:rsidR="001918FE">
        <w:t xml:space="preserve"> </w:t>
      </w:r>
      <w:r w:rsidR="00433FF5">
        <w:t>showing signs of slowing</w:t>
      </w:r>
      <w:r w:rsidR="001918FE">
        <w:t xml:space="preserve"> </w:t>
      </w:r>
      <w:r w:rsidR="00C00E8F">
        <w:t>with a fall in retail sales for the month of March 2024 by (-0.4%).</w:t>
      </w:r>
    </w:p>
    <w:p w14:paraId="4777ACBD" w14:textId="0687A81B" w:rsidR="00D97359" w:rsidRDefault="006504F7" w:rsidP="00001F8C">
      <w:r>
        <w:t xml:space="preserve">More aggressive investors </w:t>
      </w:r>
      <w:r w:rsidR="00211307">
        <w:t>are</w:t>
      </w:r>
      <w:r>
        <w:t xml:space="preserve"> </w:t>
      </w:r>
      <w:r w:rsidR="001112B5">
        <w:t xml:space="preserve">taking advantage of </w:t>
      </w:r>
      <w:r w:rsidR="00E907AE">
        <w:t>any</w:t>
      </w:r>
      <w:r w:rsidR="001112B5">
        <w:t xml:space="preserve"> </w:t>
      </w:r>
      <w:r w:rsidR="00F11088">
        <w:t xml:space="preserve">pullback in markets to buy </w:t>
      </w:r>
      <w:r w:rsidR="001112B5">
        <w:t xml:space="preserve">oversold companies in industries and </w:t>
      </w:r>
      <w:r w:rsidR="00745215">
        <w:t>entering</w:t>
      </w:r>
      <w:r>
        <w:t xml:space="preserve"> </w:t>
      </w:r>
      <w:r w:rsidR="00096979" w:rsidRPr="002903A6">
        <w:rPr>
          <w:b/>
          <w:bCs/>
        </w:rPr>
        <w:t xml:space="preserve">selective </w:t>
      </w:r>
      <w:r w:rsidR="00211307" w:rsidRPr="002903A6">
        <w:rPr>
          <w:b/>
          <w:bCs/>
        </w:rPr>
        <w:t>risk-on trades</w:t>
      </w:r>
      <w:r w:rsidR="00877A32">
        <w:t>. T</w:t>
      </w:r>
      <w:r w:rsidR="00745215">
        <w:t>h</w:t>
      </w:r>
      <w:r w:rsidR="00877A32">
        <w:t xml:space="preserve">is activity </w:t>
      </w:r>
      <w:r w:rsidR="00096979">
        <w:t>i</w:t>
      </w:r>
      <w:r w:rsidR="00877A32">
        <w:t xml:space="preserve">s likely to be in response to </w:t>
      </w:r>
      <w:r w:rsidR="00E907AE">
        <w:t xml:space="preserve">conservative </w:t>
      </w:r>
      <w:r w:rsidR="00F11088">
        <w:t xml:space="preserve">earnings guidance </w:t>
      </w:r>
      <w:r w:rsidR="00096979">
        <w:t xml:space="preserve">being </w:t>
      </w:r>
      <w:r w:rsidR="00EF6467">
        <w:t>achieved</w:t>
      </w:r>
      <w:r w:rsidR="00096979">
        <w:t xml:space="preserve"> and future guidance being marginally positive</w:t>
      </w:r>
      <w:r w:rsidR="00F11088">
        <w:t>.</w:t>
      </w:r>
      <w:r w:rsidR="007633F4">
        <w:t xml:space="preserve"> </w:t>
      </w:r>
    </w:p>
    <w:p w14:paraId="72A614DB" w14:textId="35DE7250" w:rsidR="00D658F2" w:rsidRDefault="00D658F2" w:rsidP="00001F8C">
      <w:r>
        <w:t xml:space="preserve">The overall </w:t>
      </w:r>
      <w:r w:rsidR="002C2046">
        <w:t xml:space="preserve">investment </w:t>
      </w:r>
      <w:r>
        <w:t xml:space="preserve">feeling </w:t>
      </w:r>
      <w:r w:rsidR="005A4CB4">
        <w:t xml:space="preserve">for shares </w:t>
      </w:r>
      <w:r>
        <w:t>i</w:t>
      </w:r>
      <w:r w:rsidR="000D2EF0">
        <w:t>n the</w:t>
      </w:r>
      <w:r>
        <w:t xml:space="preserve"> </w:t>
      </w:r>
      <w:r w:rsidR="00211307">
        <w:t xml:space="preserve">short-term </w:t>
      </w:r>
      <w:r w:rsidR="008116BB">
        <w:t xml:space="preserve">is </w:t>
      </w:r>
      <w:r w:rsidR="008116BB" w:rsidRPr="00C96BC6">
        <w:rPr>
          <w:b/>
          <w:bCs/>
        </w:rPr>
        <w:t>“</w:t>
      </w:r>
      <w:r w:rsidR="005006DD">
        <w:rPr>
          <w:b/>
          <w:bCs/>
        </w:rPr>
        <w:t>hold</w:t>
      </w:r>
      <w:r w:rsidR="005006DD" w:rsidRPr="00C96BC6">
        <w:rPr>
          <w:b/>
          <w:bCs/>
        </w:rPr>
        <w:t>”</w:t>
      </w:r>
      <w:r w:rsidR="005006DD">
        <w:t xml:space="preserve"> and</w:t>
      </w:r>
      <w:r w:rsidR="00C96BC6">
        <w:t xml:space="preserve"> remains </w:t>
      </w:r>
      <w:r w:rsidR="00877A32" w:rsidRPr="00745215">
        <w:rPr>
          <w:b/>
          <w:bCs/>
        </w:rPr>
        <w:t>optimistic</w:t>
      </w:r>
      <w:r w:rsidR="00877A32">
        <w:t xml:space="preserve"> </w:t>
      </w:r>
      <w:r w:rsidR="00745215">
        <w:rPr>
          <w:b/>
          <w:bCs/>
        </w:rPr>
        <w:t>over the long run</w:t>
      </w:r>
      <w:r w:rsidR="009C479B">
        <w:rPr>
          <w:b/>
          <w:bCs/>
        </w:rPr>
        <w:t xml:space="preserve"> </w:t>
      </w:r>
      <w:r w:rsidR="002C2046" w:rsidRPr="002C2046">
        <w:t xml:space="preserve">as interest </w:t>
      </w:r>
      <w:r w:rsidR="00FC017D">
        <w:t xml:space="preserve">rates </w:t>
      </w:r>
      <w:r w:rsidR="00C5696F">
        <w:t xml:space="preserve">are expected to </w:t>
      </w:r>
      <w:r w:rsidR="002903A6">
        <w:t>ease</w:t>
      </w:r>
      <w:r w:rsidR="00C96BC6">
        <w:t xml:space="preserve"> along with inflation</w:t>
      </w:r>
      <w:r w:rsidR="00745215">
        <w:t xml:space="preserve">. </w:t>
      </w:r>
    </w:p>
    <w:p w14:paraId="1B4AEE86" w14:textId="77777777" w:rsidR="009E7EF6" w:rsidRPr="002C183C" w:rsidRDefault="009E7EF6" w:rsidP="004273DE">
      <w:pPr>
        <w:pStyle w:val="Heading3"/>
        <w:spacing w:before="120" w:after="120"/>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Global View</w:t>
      </w:r>
    </w:p>
    <w:p w14:paraId="0E1503D3" w14:textId="30A9C3FA" w:rsidR="00CC3247" w:rsidRDefault="00FD5867" w:rsidP="004273DE">
      <w:pPr>
        <w:spacing w:before="120" w:after="120"/>
      </w:pPr>
      <w:r>
        <w:t xml:space="preserve">Global </w:t>
      </w:r>
      <w:r w:rsidR="00F11088">
        <w:t xml:space="preserve">markets </w:t>
      </w:r>
      <w:r w:rsidR="001451A8">
        <w:t xml:space="preserve">returns </w:t>
      </w:r>
      <w:r w:rsidR="00DF5A47">
        <w:t xml:space="preserve">were </w:t>
      </w:r>
      <w:r w:rsidR="00C00E8F">
        <w:t>soft</w:t>
      </w:r>
      <w:r w:rsidR="00DF5A47">
        <w:t xml:space="preserve"> </w:t>
      </w:r>
      <w:r w:rsidR="002903A6">
        <w:t xml:space="preserve">over </w:t>
      </w:r>
      <w:r w:rsidR="00C00E8F">
        <w:t>April</w:t>
      </w:r>
      <w:r w:rsidR="007633F4">
        <w:t xml:space="preserve"> 202</w:t>
      </w:r>
      <w:r w:rsidR="00DF5A47">
        <w:t>4</w:t>
      </w:r>
      <w:r w:rsidR="0096795C">
        <w:t xml:space="preserve"> </w:t>
      </w:r>
      <w:r w:rsidR="000D4ED4">
        <w:t xml:space="preserve">in AUD terms </w:t>
      </w:r>
      <w:r w:rsidR="002903A6">
        <w:t xml:space="preserve">despite the </w:t>
      </w:r>
      <w:r w:rsidR="00C00E8F">
        <w:t>tail</w:t>
      </w:r>
      <w:r w:rsidR="002903A6">
        <w:t xml:space="preserve">winds of a </w:t>
      </w:r>
      <w:r w:rsidR="00C00E8F">
        <w:t>slightly weakening</w:t>
      </w:r>
      <w:r w:rsidR="00C465D1">
        <w:t xml:space="preserve"> </w:t>
      </w:r>
      <w:r w:rsidR="000D4ED4">
        <w:t xml:space="preserve">AUD/USD exchange rate which </w:t>
      </w:r>
      <w:r w:rsidR="00C00E8F">
        <w:t>benefitted returns by</w:t>
      </w:r>
      <w:r w:rsidR="000D4ED4">
        <w:t xml:space="preserve"> (</w:t>
      </w:r>
      <w:r w:rsidR="00C00E8F">
        <w:t>+0.11</w:t>
      </w:r>
      <w:r w:rsidR="000D4ED4">
        <w:t xml:space="preserve">%) </w:t>
      </w:r>
      <w:r w:rsidR="002903A6">
        <w:t>on</w:t>
      </w:r>
      <w:r w:rsidR="000D4ED4">
        <w:t xml:space="preserve"> the </w:t>
      </w:r>
      <w:r w:rsidR="00B11817">
        <w:t xml:space="preserve">performance </w:t>
      </w:r>
      <w:r w:rsidR="000D4ED4">
        <w:t>results</w:t>
      </w:r>
      <w:r w:rsidR="003B1919">
        <w:t xml:space="preserve"> for unhedged investors</w:t>
      </w:r>
      <w:r w:rsidR="000D4ED4">
        <w:t>.</w:t>
      </w:r>
      <w:r w:rsidR="00B11817">
        <w:t xml:space="preserve"> </w:t>
      </w:r>
      <w:r w:rsidR="000D4ED4">
        <w:t>I</w:t>
      </w:r>
      <w:r w:rsidR="000D2EF0">
        <w:t>nflation</w:t>
      </w:r>
      <w:r w:rsidR="009B38B3">
        <w:t>, interest rates</w:t>
      </w:r>
      <w:r w:rsidR="000D2EF0">
        <w:t xml:space="preserve"> and </w:t>
      </w:r>
      <w:r w:rsidR="00C66DAD">
        <w:t xml:space="preserve">the </w:t>
      </w:r>
      <w:r w:rsidR="009708AD">
        <w:t xml:space="preserve">political uncertainty </w:t>
      </w:r>
      <w:r w:rsidR="000D2EF0">
        <w:t>remain the key focus</w:t>
      </w:r>
      <w:r w:rsidR="009708AD">
        <w:t>.</w:t>
      </w:r>
      <w:r w:rsidR="000D2EF0">
        <w:t xml:space="preserve"> </w:t>
      </w:r>
      <w:r w:rsidR="00A21486">
        <w:t xml:space="preserve">For </w:t>
      </w:r>
      <w:r w:rsidR="00366EA8">
        <w:t>China</w:t>
      </w:r>
      <w:r w:rsidR="00A21486">
        <w:t>,</w:t>
      </w:r>
      <w:r w:rsidR="00366EA8">
        <w:t xml:space="preserve"> </w:t>
      </w:r>
      <w:r w:rsidR="00C5696F">
        <w:t xml:space="preserve">green shoots are </w:t>
      </w:r>
      <w:r w:rsidR="005006DD">
        <w:t>appearing,</w:t>
      </w:r>
      <w:r w:rsidR="00C5696F">
        <w:t xml:space="preserve"> but it is a slow process and remains </w:t>
      </w:r>
      <w:r w:rsidR="003B1919">
        <w:t xml:space="preserve">a wait and see </w:t>
      </w:r>
      <w:r w:rsidR="003B1919">
        <w:lastRenderedPageBreak/>
        <w:t>brief as domestically they wait to see any indication of global growth</w:t>
      </w:r>
      <w:r w:rsidR="00DA7237">
        <w:t xml:space="preserve"> </w:t>
      </w:r>
      <w:r w:rsidR="00C5696F">
        <w:t xml:space="preserve">emerging </w:t>
      </w:r>
      <w:r w:rsidR="003B1919">
        <w:t>before looking to commit to expand their markets.</w:t>
      </w:r>
      <w:r w:rsidR="00CE3A00">
        <w:t xml:space="preserve"> </w:t>
      </w:r>
    </w:p>
    <w:p w14:paraId="670F5E44" w14:textId="39F7A9F8" w:rsidR="009B38B3" w:rsidRDefault="00CC3247" w:rsidP="009B38B3">
      <w:pPr>
        <w:rPr>
          <w:rFonts w:ascii="Calibri" w:hAnsi="Calibri" w:cs="Calibri"/>
          <w:color w:val="222222"/>
          <w:sz w:val="24"/>
          <w:szCs w:val="24"/>
          <w:shd w:val="clear" w:color="auto" w:fill="FFFFFF"/>
        </w:rPr>
      </w:pPr>
      <w:r w:rsidRPr="00CC3247">
        <w:t xml:space="preserve">Despite the </w:t>
      </w:r>
      <w:r w:rsidR="007B07C4">
        <w:t xml:space="preserve">uncertain </w:t>
      </w:r>
      <w:r w:rsidR="0002488F">
        <w:t>geo</w:t>
      </w:r>
      <w:r w:rsidR="00BF72F5">
        <w:t xml:space="preserve">political situation </w:t>
      </w:r>
      <w:r w:rsidR="00B11817">
        <w:t>with the</w:t>
      </w:r>
      <w:r w:rsidR="003654CD">
        <w:t xml:space="preserve"> </w:t>
      </w:r>
      <w:r w:rsidR="006B19AD">
        <w:t>Russia</w:t>
      </w:r>
      <w:r w:rsidR="009708AD">
        <w:t>-</w:t>
      </w:r>
      <w:r w:rsidR="006B19AD">
        <w:t>Ukraine</w:t>
      </w:r>
      <w:r w:rsidR="009708AD">
        <w:t>, Israel-H</w:t>
      </w:r>
      <w:r w:rsidR="009B38B3">
        <w:t>a</w:t>
      </w:r>
      <w:r w:rsidR="009708AD">
        <w:t>mas</w:t>
      </w:r>
      <w:r w:rsidR="006B19AD">
        <w:t xml:space="preserve"> </w:t>
      </w:r>
      <w:r w:rsidR="009B38B3">
        <w:t>conflict,</w:t>
      </w:r>
      <w:r w:rsidR="006B19AD">
        <w:t xml:space="preserve"> and </w:t>
      </w:r>
      <w:r w:rsidR="002903A6">
        <w:t xml:space="preserve">economic slowdown </w:t>
      </w:r>
      <w:r w:rsidR="00BF72F5">
        <w:t xml:space="preserve">concerns, </w:t>
      </w:r>
      <w:r w:rsidRPr="00090E25">
        <w:t xml:space="preserve">we </w:t>
      </w:r>
      <w:r w:rsidR="00090E25" w:rsidRPr="00090E25">
        <w:t xml:space="preserve">expect the </w:t>
      </w:r>
      <w:r w:rsidR="007B07C4" w:rsidRPr="00090E25">
        <w:rPr>
          <w:b/>
          <w:bCs/>
        </w:rPr>
        <w:t xml:space="preserve">medium-term </w:t>
      </w:r>
      <w:r w:rsidRPr="00090E25">
        <w:rPr>
          <w:b/>
          <w:bCs/>
        </w:rPr>
        <w:t>outlook</w:t>
      </w:r>
      <w:r w:rsidR="00090E25" w:rsidRPr="00090E25">
        <w:rPr>
          <w:b/>
          <w:bCs/>
        </w:rPr>
        <w:t xml:space="preserve"> to reflect better opportunities for investors</w:t>
      </w:r>
      <w:r w:rsidR="00090E25">
        <w:t xml:space="preserve">. </w:t>
      </w:r>
      <w:r w:rsidR="007B07C4">
        <w:t xml:space="preserve">Short-term, </w:t>
      </w:r>
      <w:r w:rsidR="007633F4">
        <w:t xml:space="preserve">we </w:t>
      </w:r>
      <w:r w:rsidR="007B07C4">
        <w:t xml:space="preserve">expect </w:t>
      </w:r>
      <w:r w:rsidR="00C5696F">
        <w:t>Q</w:t>
      </w:r>
      <w:r w:rsidR="00C00E8F">
        <w:t>3</w:t>
      </w:r>
      <w:r w:rsidR="00C5696F">
        <w:t xml:space="preserve"> and Q</w:t>
      </w:r>
      <w:r w:rsidR="00C00E8F">
        <w:t>4</w:t>
      </w:r>
      <w:r w:rsidR="00C5696F">
        <w:t xml:space="preserve"> </w:t>
      </w:r>
      <w:r w:rsidR="002903A6">
        <w:t xml:space="preserve">to reflect </w:t>
      </w:r>
      <w:r w:rsidR="00C00E8F">
        <w:t>improving</w:t>
      </w:r>
      <w:r w:rsidR="00C465D1">
        <w:t xml:space="preserve"> </w:t>
      </w:r>
      <w:r w:rsidR="00C5696F">
        <w:t xml:space="preserve">company results plus </w:t>
      </w:r>
      <w:r w:rsidR="00C465D1">
        <w:t>c</w:t>
      </w:r>
      <w:r w:rsidR="00C00E8F">
        <w:t>onservative</w:t>
      </w:r>
      <w:r w:rsidR="00C465D1">
        <w:t xml:space="preserve"> </w:t>
      </w:r>
      <w:r w:rsidR="00C5696F">
        <w:t xml:space="preserve">forward guidance </w:t>
      </w:r>
      <w:r w:rsidR="00C465D1">
        <w:t xml:space="preserve">which </w:t>
      </w:r>
      <w:r w:rsidR="00C00E8F">
        <w:t xml:space="preserve">will </w:t>
      </w:r>
      <w:r w:rsidR="00C465D1">
        <w:t>help support</w:t>
      </w:r>
      <w:r w:rsidR="00C5696F">
        <w:t xml:space="preserve"> </w:t>
      </w:r>
      <w:r w:rsidR="00600EF9">
        <w:t>investor appetite as interest rates search for equilibrium</w:t>
      </w:r>
      <w:r w:rsidR="00C00E8F">
        <w:t>.</w:t>
      </w:r>
      <w:r w:rsidR="00005474">
        <w:rPr>
          <w:rFonts w:ascii="Calibri" w:hAnsi="Calibri" w:cs="Calibri"/>
          <w:color w:val="222222"/>
          <w:sz w:val="24"/>
          <w:szCs w:val="24"/>
          <w:shd w:val="clear" w:color="auto" w:fill="FFFFFF"/>
        </w:rPr>
        <w:t xml:space="preserve"> </w:t>
      </w:r>
    </w:p>
    <w:p w14:paraId="746B3093" w14:textId="22FABC60" w:rsidR="00476B80" w:rsidRPr="00E37E86" w:rsidRDefault="00FA2956" w:rsidP="004273DE">
      <w:pPr>
        <w:spacing w:before="120" w:after="120"/>
        <w:rPr>
          <w:b/>
          <w:bCs/>
        </w:rPr>
      </w:pPr>
      <w:r>
        <w:rPr>
          <w:b/>
          <w:bCs/>
        </w:rPr>
        <w:t>Where to From Here?</w:t>
      </w:r>
    </w:p>
    <w:p w14:paraId="6BF46611" w14:textId="3825F861" w:rsidR="00DC3092" w:rsidRPr="00DC3092" w:rsidRDefault="00FA2956" w:rsidP="004273DE">
      <w:pPr>
        <w:spacing w:before="120" w:after="120"/>
      </w:pPr>
      <w:r w:rsidRPr="00850E8E">
        <w:rPr>
          <w:b/>
          <w:bCs/>
        </w:rPr>
        <w:t>For Australia</w:t>
      </w:r>
      <w:r>
        <w:t xml:space="preserve">, </w:t>
      </w:r>
      <w:r w:rsidR="00B52912">
        <w:t xml:space="preserve">what is happening in the </w:t>
      </w:r>
      <w:r w:rsidR="00931211" w:rsidRPr="00B52912">
        <w:t xml:space="preserve">global markets </w:t>
      </w:r>
      <w:r w:rsidR="0002488F">
        <w:t xml:space="preserve">is </w:t>
      </w:r>
      <w:r w:rsidR="00A82292">
        <w:t xml:space="preserve">directly impacting our markets as </w:t>
      </w:r>
      <w:r w:rsidR="00457450">
        <w:t xml:space="preserve">there is </w:t>
      </w:r>
      <w:r w:rsidR="0002488F">
        <w:t>align</w:t>
      </w:r>
      <w:r w:rsidR="00457450">
        <w:t>ment</w:t>
      </w:r>
      <w:r w:rsidR="0002488F">
        <w:t xml:space="preserve"> in trade </w:t>
      </w:r>
      <w:r w:rsidR="005006DD">
        <w:t>terms,</w:t>
      </w:r>
      <w:r w:rsidR="0002488F">
        <w:t xml:space="preserve"> </w:t>
      </w:r>
      <w:r w:rsidR="00931211" w:rsidRPr="00B52912">
        <w:t xml:space="preserve">but the fallout </w:t>
      </w:r>
      <w:r w:rsidR="00A82292">
        <w:t xml:space="preserve">remains </w:t>
      </w:r>
      <w:r w:rsidR="00931211" w:rsidRPr="00B52912">
        <w:t xml:space="preserve">mitigated given our </w:t>
      </w:r>
      <w:r w:rsidR="00005474">
        <w:t xml:space="preserve">immigration, </w:t>
      </w:r>
      <w:r w:rsidR="00931211" w:rsidRPr="00B52912">
        <w:t xml:space="preserve">agricultural and resource assets. </w:t>
      </w:r>
      <w:r w:rsidR="00A81BD3" w:rsidRPr="00DC3092">
        <w:t>All eyes are</w:t>
      </w:r>
      <w:r w:rsidR="009F26B6">
        <w:t xml:space="preserve"> </w:t>
      </w:r>
      <w:r w:rsidR="00A81BD3" w:rsidRPr="00DC3092">
        <w:t xml:space="preserve">focussed on </w:t>
      </w:r>
      <w:r w:rsidR="00DC3092" w:rsidRPr="00DC3092">
        <w:t>the</w:t>
      </w:r>
      <w:r w:rsidR="00DC3092">
        <w:rPr>
          <w:b/>
          <w:bCs/>
        </w:rPr>
        <w:t xml:space="preserve"> Middle East political unrest. </w:t>
      </w:r>
      <w:r w:rsidR="009F26B6" w:rsidRPr="00DC3092">
        <w:t>Let us</w:t>
      </w:r>
      <w:r w:rsidR="00DC3092" w:rsidRPr="00DC3092">
        <w:t xml:space="preserve"> hope the situation </w:t>
      </w:r>
      <w:r w:rsidR="009F26B6">
        <w:t>will be</w:t>
      </w:r>
      <w:r w:rsidR="00DC3092" w:rsidRPr="00DC3092">
        <w:t xml:space="preserve"> contained and a solution </w:t>
      </w:r>
      <w:r w:rsidR="00DC3092">
        <w:t xml:space="preserve">that ceases further aggression and violence </w:t>
      </w:r>
      <w:r w:rsidR="00DC3092" w:rsidRPr="00DC3092">
        <w:t>is forthcoming.</w:t>
      </w:r>
    </w:p>
    <w:p w14:paraId="14C07903" w14:textId="67270074" w:rsidR="00355670" w:rsidRDefault="00934A2F" w:rsidP="009E7EF6">
      <w:r>
        <w:t xml:space="preserve">The latest rhetoric </w:t>
      </w:r>
      <w:r w:rsidR="004A1535">
        <w:t>from Central Banks</w:t>
      </w:r>
      <w:r w:rsidR="001B06AA">
        <w:t xml:space="preserve"> </w:t>
      </w:r>
      <w:r w:rsidR="001B06AA" w:rsidRPr="00F1304B">
        <w:rPr>
          <w:b/>
          <w:bCs/>
        </w:rPr>
        <w:t>confirms the change to monetary policy thinking</w:t>
      </w:r>
      <w:r w:rsidR="003A4B8F">
        <w:rPr>
          <w:b/>
          <w:bCs/>
        </w:rPr>
        <w:t xml:space="preserve"> </w:t>
      </w:r>
      <w:r w:rsidR="00C00E8F">
        <w:rPr>
          <w:b/>
          <w:bCs/>
        </w:rPr>
        <w:t xml:space="preserve">however, inflation is the main </w:t>
      </w:r>
      <w:r w:rsidR="00067753">
        <w:rPr>
          <w:b/>
          <w:bCs/>
        </w:rPr>
        <w:t xml:space="preserve">cause of concern </w:t>
      </w:r>
      <w:r w:rsidR="007D1BED" w:rsidRPr="007D1BED">
        <w:t xml:space="preserve">which has </w:t>
      </w:r>
      <w:r w:rsidR="00067753">
        <w:t xml:space="preserve">spooked bond investors and </w:t>
      </w:r>
      <w:r w:rsidR="007D1BED" w:rsidRPr="007D1BED">
        <w:t xml:space="preserve">been the </w:t>
      </w:r>
      <w:r w:rsidR="00067753">
        <w:t xml:space="preserve">main </w:t>
      </w:r>
      <w:r w:rsidR="007D1BED" w:rsidRPr="007D1BED">
        <w:t xml:space="preserve">catalyst for the recent </w:t>
      </w:r>
      <w:r w:rsidR="00067753">
        <w:t>pull back</w:t>
      </w:r>
      <w:r w:rsidR="007D1BED" w:rsidRPr="007D1BED">
        <w:t xml:space="preserve"> in the share markets</w:t>
      </w:r>
      <w:r w:rsidR="007145A7" w:rsidRPr="007D1BED">
        <w:t>.</w:t>
      </w:r>
      <w:r w:rsidR="007145A7">
        <w:rPr>
          <w:b/>
          <w:bCs/>
        </w:rPr>
        <w:t xml:space="preserve"> </w:t>
      </w:r>
      <w:r w:rsidR="00363813">
        <w:t>W</w:t>
      </w:r>
      <w:r w:rsidR="00EB7825">
        <w:t xml:space="preserve">e may </w:t>
      </w:r>
      <w:r w:rsidR="00363813">
        <w:t xml:space="preserve">not </w:t>
      </w:r>
      <w:r w:rsidR="00EB7825">
        <w:t xml:space="preserve">have </w:t>
      </w:r>
      <w:r w:rsidR="001B06AA">
        <w:t xml:space="preserve">seen the real impact of the interest rate rises just </w:t>
      </w:r>
      <w:r w:rsidR="005006DD">
        <w:t>yet,</w:t>
      </w:r>
      <w:r w:rsidR="001B06AA">
        <w:t xml:space="preserve"> but the first half of 2024 </w:t>
      </w:r>
      <w:r w:rsidR="00067753">
        <w:t xml:space="preserve">is </w:t>
      </w:r>
      <w:r w:rsidR="001B06AA">
        <w:t>provid</w:t>
      </w:r>
      <w:r w:rsidR="00067753">
        <w:t xml:space="preserve">ing </w:t>
      </w:r>
      <w:r w:rsidR="001B06AA">
        <w:t>a strong indication of where we are heading in terms of soft or hard landing for the global economies.</w:t>
      </w:r>
      <w:r w:rsidR="00067753">
        <w:t xml:space="preserve"> </w:t>
      </w:r>
    </w:p>
    <w:p w14:paraId="67B2D452" w14:textId="6A04B091" w:rsidR="004B17FB" w:rsidRDefault="004A734E" w:rsidP="009E7EF6">
      <w:r w:rsidRPr="004A734E">
        <w:t xml:space="preserve">Markets have </w:t>
      </w:r>
      <w:r w:rsidR="00B52912">
        <w:t xml:space="preserve">already </w:t>
      </w:r>
      <w:r w:rsidR="00A013B5">
        <w:t>weathered tough conditions</w:t>
      </w:r>
      <w:r w:rsidRPr="004A734E">
        <w:t xml:space="preserve"> </w:t>
      </w:r>
      <w:r w:rsidR="00005474">
        <w:t>over 2023</w:t>
      </w:r>
      <w:r w:rsidR="007D1BED">
        <w:t>/24</w:t>
      </w:r>
      <w:r w:rsidR="00005474">
        <w:t xml:space="preserve"> </w:t>
      </w:r>
      <w:r w:rsidRPr="004A734E">
        <w:t xml:space="preserve">and </w:t>
      </w:r>
      <w:r w:rsidR="00005474">
        <w:t xml:space="preserve">now </w:t>
      </w:r>
      <w:r w:rsidR="00B52912">
        <w:t xml:space="preserve">there is </w:t>
      </w:r>
      <w:r w:rsidRPr="004A734E">
        <w:t xml:space="preserve">economic evidence pointing to a potential </w:t>
      </w:r>
      <w:r w:rsidR="007D1BED" w:rsidRPr="007D1BED">
        <w:rPr>
          <w:b/>
          <w:bCs/>
        </w:rPr>
        <w:t>soft landing</w:t>
      </w:r>
      <w:r w:rsidR="007D1BED">
        <w:t xml:space="preserve"> rather than a mild recession</w:t>
      </w:r>
      <w:r w:rsidR="00B52912">
        <w:t xml:space="preserve"> </w:t>
      </w:r>
      <w:r w:rsidR="0002488F">
        <w:t xml:space="preserve">in the US and Europe </w:t>
      </w:r>
      <w:r w:rsidR="007F4AD0">
        <w:t>down the track</w:t>
      </w:r>
      <w:r w:rsidR="00005474">
        <w:t xml:space="preserve">. </w:t>
      </w:r>
      <w:r w:rsidR="00005474" w:rsidRPr="00005474">
        <w:rPr>
          <w:b/>
          <w:bCs/>
        </w:rPr>
        <w:t>M</w:t>
      </w:r>
      <w:r w:rsidRPr="00B52912">
        <w:rPr>
          <w:b/>
          <w:bCs/>
        </w:rPr>
        <w:t>arkets are forward looking</w:t>
      </w:r>
      <w:r w:rsidRPr="004A734E">
        <w:t xml:space="preserve">, so </w:t>
      </w:r>
      <w:r w:rsidR="00F43A7D" w:rsidRPr="004A734E">
        <w:t>it is</w:t>
      </w:r>
      <w:r w:rsidRPr="004A734E">
        <w:t xml:space="preserve"> likely they </w:t>
      </w:r>
      <w:r w:rsidR="00005474">
        <w:t>have</w:t>
      </w:r>
      <w:r w:rsidRPr="004A734E">
        <w:t xml:space="preserve"> </w:t>
      </w:r>
      <w:r w:rsidR="00005474" w:rsidRPr="00005474">
        <w:rPr>
          <w:b/>
          <w:bCs/>
        </w:rPr>
        <w:t>found</w:t>
      </w:r>
      <w:r w:rsidR="00B52912" w:rsidRPr="00005474">
        <w:rPr>
          <w:b/>
          <w:bCs/>
        </w:rPr>
        <w:t xml:space="preserve"> a</w:t>
      </w:r>
      <w:r w:rsidR="00B52912" w:rsidRPr="00A64C25">
        <w:rPr>
          <w:b/>
          <w:bCs/>
        </w:rPr>
        <w:t xml:space="preserve"> bottom </w:t>
      </w:r>
      <w:r w:rsidRPr="00A64C25">
        <w:rPr>
          <w:b/>
          <w:bCs/>
        </w:rPr>
        <w:t xml:space="preserve">and </w:t>
      </w:r>
      <w:r w:rsidR="00B52912" w:rsidRPr="00A64C25">
        <w:rPr>
          <w:b/>
          <w:bCs/>
        </w:rPr>
        <w:t>consolidat</w:t>
      </w:r>
      <w:r w:rsidR="00005474">
        <w:rPr>
          <w:b/>
          <w:bCs/>
        </w:rPr>
        <w:t>ing</w:t>
      </w:r>
      <w:r w:rsidR="00B52912">
        <w:t xml:space="preserve"> before s</w:t>
      </w:r>
      <w:r w:rsidRPr="004A734E">
        <w:t>tart</w:t>
      </w:r>
      <w:r w:rsidR="00B52912">
        <w:t>ing</w:t>
      </w:r>
      <w:r w:rsidRPr="004A734E">
        <w:t xml:space="preserve"> </w:t>
      </w:r>
      <w:r w:rsidR="00B52912">
        <w:t>to recover</w:t>
      </w:r>
      <w:r w:rsidRPr="004A734E">
        <w:t xml:space="preserve"> </w:t>
      </w:r>
      <w:r w:rsidR="00005474">
        <w:t>longer term.</w:t>
      </w:r>
      <w:r w:rsidR="00B52912">
        <w:t xml:space="preserve"> </w:t>
      </w:r>
      <w:r w:rsidR="00EF6467">
        <w:t>We</w:t>
      </w:r>
      <w:r w:rsidR="00F1304B">
        <w:t xml:space="preserve"> </w:t>
      </w:r>
      <w:r w:rsidR="00005474">
        <w:t xml:space="preserve">suspect we </w:t>
      </w:r>
      <w:r w:rsidR="00F1304B">
        <w:t>have</w:t>
      </w:r>
      <w:r w:rsidR="00EF6467">
        <w:t xml:space="preserve"> just</w:t>
      </w:r>
      <w:r w:rsidR="00F1304B">
        <w:t xml:space="preserve"> seen the start of that recovery process</w:t>
      </w:r>
      <w:r w:rsidR="00067753">
        <w:t xml:space="preserve"> and </w:t>
      </w:r>
      <w:r w:rsidR="00067753" w:rsidRPr="00DA7237">
        <w:rPr>
          <w:b/>
          <w:bCs/>
        </w:rPr>
        <w:t xml:space="preserve">the </w:t>
      </w:r>
      <w:r w:rsidR="00067753" w:rsidRPr="00067753">
        <w:rPr>
          <w:b/>
          <w:bCs/>
        </w:rPr>
        <w:t>recent volatility is simply the ebb and flow of markets</w:t>
      </w:r>
      <w:r w:rsidR="00067753">
        <w:t>.</w:t>
      </w:r>
    </w:p>
    <w:p w14:paraId="485625AC" w14:textId="062C1EEC" w:rsidR="00DA7237" w:rsidRDefault="00B52912" w:rsidP="006E0DCD">
      <w:r>
        <w:t xml:space="preserve">Fingers crossed </w:t>
      </w:r>
      <w:r w:rsidR="004A1535">
        <w:t xml:space="preserve">monetary policy </w:t>
      </w:r>
      <w:r w:rsidR="00412A09">
        <w:t xml:space="preserve">direction </w:t>
      </w:r>
      <w:r w:rsidR="00513CA7">
        <w:t xml:space="preserve">remains restrictive but trending towards an easing bias in the months ahead which hopefully, </w:t>
      </w:r>
      <w:r w:rsidR="00CB75C6">
        <w:t xml:space="preserve">will lead to </w:t>
      </w:r>
      <w:r w:rsidR="004A1535">
        <w:t xml:space="preserve">a </w:t>
      </w:r>
      <w:r w:rsidR="00733FAC">
        <w:t xml:space="preserve">moderation in prices </w:t>
      </w:r>
      <w:r w:rsidR="00CB75C6">
        <w:t xml:space="preserve">and </w:t>
      </w:r>
      <w:r w:rsidR="00922434">
        <w:t xml:space="preserve">the start of </w:t>
      </w:r>
      <w:r w:rsidR="00733FAC">
        <w:t xml:space="preserve">a more stable </w:t>
      </w:r>
      <w:r w:rsidR="00CB75C6">
        <w:t xml:space="preserve">growth </w:t>
      </w:r>
      <w:r w:rsidR="00733FAC">
        <w:t>platform</w:t>
      </w:r>
      <w:r w:rsidR="004B17FB">
        <w:t>.</w:t>
      </w:r>
      <w:r w:rsidR="00CB75C6">
        <w:t xml:space="preserve"> </w:t>
      </w:r>
    </w:p>
    <w:p w14:paraId="699E7283" w14:textId="77777777" w:rsidR="006E0DCD" w:rsidRDefault="006E0DCD" w:rsidP="0090611C">
      <w:pPr>
        <w:rPr>
          <w:b/>
          <w:bCs/>
        </w:rPr>
      </w:pPr>
    </w:p>
    <w:p w14:paraId="425DC95A" w14:textId="77777777" w:rsidR="006E0DCD" w:rsidRDefault="006E0DCD" w:rsidP="0090611C">
      <w:pPr>
        <w:rPr>
          <w:b/>
          <w:bCs/>
        </w:rPr>
      </w:pPr>
    </w:p>
    <w:p w14:paraId="20A62BEF" w14:textId="7E9C044C" w:rsidR="009E7EF6" w:rsidRPr="0002488F" w:rsidRDefault="009E7EF6" w:rsidP="0090611C">
      <w:pPr>
        <w:rPr>
          <w:b/>
          <w:bCs/>
        </w:rPr>
      </w:pPr>
      <w:r w:rsidRPr="0002488F">
        <w:rPr>
          <w:b/>
          <w:bCs/>
        </w:rPr>
        <w:t>Footnote</w:t>
      </w:r>
    </w:p>
    <w:p w14:paraId="458C9861" w14:textId="5097FF3B" w:rsidR="00DE74A4" w:rsidRPr="000F52AB" w:rsidRDefault="009E7EF6" w:rsidP="00421DFB">
      <w:r w:rsidRPr="00A851EE">
        <w:rPr>
          <w:sz w:val="18"/>
        </w:rPr>
        <w:t xml:space="preserve">This market update written by Graham Fox for and on behalf of HNW Planning on </w:t>
      </w:r>
      <w:r w:rsidR="004A1535">
        <w:rPr>
          <w:sz w:val="18"/>
        </w:rPr>
        <w:t>1</w:t>
      </w:r>
      <w:r w:rsidR="00067753">
        <w:rPr>
          <w:sz w:val="18"/>
        </w:rPr>
        <w:t>5</w:t>
      </w:r>
      <w:r w:rsidRPr="00A851EE">
        <w:rPr>
          <w:sz w:val="18"/>
        </w:rPr>
        <w:t>/</w:t>
      </w:r>
      <w:r w:rsidR="000B1350">
        <w:rPr>
          <w:sz w:val="18"/>
        </w:rPr>
        <w:t>0</w:t>
      </w:r>
      <w:r w:rsidR="00067753">
        <w:rPr>
          <w:sz w:val="18"/>
        </w:rPr>
        <w:t>5</w:t>
      </w:r>
      <w:r w:rsidRPr="00A851EE">
        <w:rPr>
          <w:sz w:val="18"/>
        </w:rPr>
        <w:t>/20</w:t>
      </w:r>
      <w:r w:rsidR="00E37E86">
        <w:rPr>
          <w:sz w:val="18"/>
        </w:rPr>
        <w:t>2</w:t>
      </w:r>
      <w:r w:rsidR="000B1350">
        <w:rPr>
          <w:sz w:val="18"/>
        </w:rPr>
        <w:t>4</w:t>
      </w:r>
      <w:r w:rsidRPr="00A851EE">
        <w:rPr>
          <w:sz w:val="18"/>
        </w:rPr>
        <w:t>. Graham Fox is a</w:t>
      </w:r>
      <w:r w:rsidR="0057013D">
        <w:rPr>
          <w:sz w:val="18"/>
        </w:rPr>
        <w:t xml:space="preserve">n external asset consultant </w:t>
      </w:r>
      <w:r w:rsidRPr="00A851EE">
        <w:rPr>
          <w:sz w:val="18"/>
        </w:rPr>
        <w:t xml:space="preserve">and </w:t>
      </w:r>
      <w:r w:rsidR="0057013D">
        <w:rPr>
          <w:sz w:val="18"/>
        </w:rPr>
        <w:t xml:space="preserve">consults to the HNW Investment Committee. Graham </w:t>
      </w:r>
      <w:r w:rsidRPr="00A851EE">
        <w:rPr>
          <w:sz w:val="18"/>
        </w:rPr>
        <w:t>has enjoyed a career in financial services covering several private, corporate and investment banking institutions including, Genesys Wealth Advisers (research), Standard &amp; Poor’s Australia (fund ratings), Westpac Private Bank (research, strategy and product), Gold Link Capital (sales and marketing), Challenger Financial Services Group (COO asset management), Deutsche Funds Management (head of treasury), Canadian Imperial Bank of Commerce (regional head of FX), Banque Nationale de Paris, (F/X) and Commercial Bank of Australia (International and Treasury). Graham references material made available from HNW Planning’s' contracted research houses including Lonsec and Morningstar. </w:t>
      </w:r>
      <w:bookmarkEnd w:id="0"/>
    </w:p>
    <w:sectPr w:rsidR="00DE74A4" w:rsidRPr="000F52AB" w:rsidSect="00D94145">
      <w:pgSz w:w="11906" w:h="16838" w:code="9"/>
      <w:pgMar w:top="2948" w:right="1440" w:bottom="2041" w:left="1440"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AFADE" w14:textId="77777777" w:rsidR="00777F47" w:rsidRDefault="00777F47" w:rsidP="00EB28A8">
      <w:pPr>
        <w:spacing w:after="0" w:line="240" w:lineRule="auto"/>
      </w:pPr>
      <w:r>
        <w:separator/>
      </w:r>
    </w:p>
  </w:endnote>
  <w:endnote w:type="continuationSeparator" w:id="0">
    <w:p w14:paraId="4FBEB29F" w14:textId="77777777" w:rsidR="00777F47" w:rsidRDefault="00777F47" w:rsidP="00EB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j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6787E" w14:textId="77777777" w:rsidR="00777F47" w:rsidRDefault="00777F47" w:rsidP="00EB28A8">
      <w:pPr>
        <w:spacing w:after="0" w:line="240" w:lineRule="auto"/>
      </w:pPr>
      <w:r>
        <w:separator/>
      </w:r>
    </w:p>
  </w:footnote>
  <w:footnote w:type="continuationSeparator" w:id="0">
    <w:p w14:paraId="4414066F" w14:textId="77777777" w:rsidR="00777F47" w:rsidRDefault="00777F47" w:rsidP="00EB2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28E0880"/>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E5C40D38"/>
    <w:lvl w:ilvl="0">
      <w:start w:val="1"/>
      <w:numFmt w:val="bullet"/>
      <w:pStyle w:val="ListBullet2"/>
      <w:lvlText w:val="–"/>
      <w:lvlJc w:val="left"/>
      <w:pPr>
        <w:ind w:left="643" w:hanging="360"/>
      </w:pPr>
      <w:rPr>
        <w:rFonts w:ascii="Calibri" w:hAnsi="Calibri" w:hint="default"/>
      </w:rPr>
    </w:lvl>
  </w:abstractNum>
  <w:abstractNum w:abstractNumId="2" w15:restartNumberingAfterBreak="0">
    <w:nsid w:val="FFFFFF88"/>
    <w:multiLevelType w:val="singleLevel"/>
    <w:tmpl w:val="E46CB6F2"/>
    <w:lvl w:ilvl="0">
      <w:start w:val="1"/>
      <w:numFmt w:val="decimal"/>
      <w:pStyle w:val="ListNumber"/>
      <w:lvlText w:val="%1."/>
      <w:lvlJc w:val="left"/>
      <w:pPr>
        <w:ind w:left="360" w:hanging="360"/>
      </w:pPr>
      <w:rPr>
        <w:rFonts w:hint="default"/>
        <w:b/>
        <w:i w:val="0"/>
      </w:rPr>
    </w:lvl>
  </w:abstractNum>
  <w:abstractNum w:abstractNumId="3" w15:restartNumberingAfterBreak="0">
    <w:nsid w:val="FFFFFF89"/>
    <w:multiLevelType w:val="singleLevel"/>
    <w:tmpl w:val="CAFCA22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A9F2A3D"/>
    <w:multiLevelType w:val="hybridMultilevel"/>
    <w:tmpl w:val="1E8E9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38120D"/>
    <w:multiLevelType w:val="hybridMultilevel"/>
    <w:tmpl w:val="8236E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1A4849"/>
    <w:multiLevelType w:val="hybridMultilevel"/>
    <w:tmpl w:val="59FC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122E26"/>
    <w:multiLevelType w:val="multilevel"/>
    <w:tmpl w:val="AE48833A"/>
    <w:lvl w:ilvl="0">
      <w:start w:val="1"/>
      <w:numFmt w:val="decimal"/>
      <w:lvlText w:val="%1"/>
      <w:lvlJc w:val="left"/>
      <w:pPr>
        <w:ind w:left="432" w:hanging="432"/>
      </w:pPr>
      <w:rPr>
        <w:color w:val="auto"/>
        <w:sz w:val="24"/>
      </w:rPr>
    </w:lvl>
    <w:lvl w:ilvl="1">
      <w:start w:val="1"/>
      <w:numFmt w:val="decimal"/>
      <w:pStyle w:val="Heading5"/>
      <w:lvlText w:val="%1.%2"/>
      <w:lvlJc w:val="left"/>
      <w:pPr>
        <w:ind w:left="576" w:hanging="576"/>
      </w:pPr>
    </w:lvl>
    <w:lvl w:ilvl="2">
      <w:start w:val="1"/>
      <w:numFmt w:val="decimal"/>
      <w:pStyle w:val="Heading6"/>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7500434"/>
    <w:multiLevelType w:val="hybridMultilevel"/>
    <w:tmpl w:val="F814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E26C13"/>
    <w:multiLevelType w:val="hybridMultilevel"/>
    <w:tmpl w:val="B13A6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788160214">
    <w:abstractNumId w:val="7"/>
  </w:num>
  <w:num w:numId="2" w16cid:durableId="1643658398">
    <w:abstractNumId w:val="3"/>
  </w:num>
  <w:num w:numId="3" w16cid:durableId="84688565">
    <w:abstractNumId w:val="1"/>
  </w:num>
  <w:num w:numId="4" w16cid:durableId="708146902">
    <w:abstractNumId w:val="2"/>
  </w:num>
  <w:num w:numId="5" w16cid:durableId="1993243837">
    <w:abstractNumId w:val="0"/>
  </w:num>
  <w:num w:numId="6" w16cid:durableId="430129513">
    <w:abstractNumId w:val="4"/>
  </w:num>
  <w:num w:numId="7" w16cid:durableId="638262864">
    <w:abstractNumId w:val="8"/>
  </w:num>
  <w:num w:numId="8" w16cid:durableId="1542089249">
    <w:abstractNumId w:val="9"/>
  </w:num>
  <w:num w:numId="9" w16cid:durableId="904684547">
    <w:abstractNumId w:val="5"/>
  </w:num>
  <w:num w:numId="10" w16cid:durableId="14666977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HNWTable01"/>
  <w:characterSpacingControl w:val="doNotCompress"/>
  <w:hdrShapeDefaults>
    <o:shapedefaults v:ext="edit" spidmax="205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71"/>
    <w:rsid w:val="000006BC"/>
    <w:rsid w:val="00001213"/>
    <w:rsid w:val="000017A1"/>
    <w:rsid w:val="00001F8C"/>
    <w:rsid w:val="00004613"/>
    <w:rsid w:val="00005474"/>
    <w:rsid w:val="00006CCB"/>
    <w:rsid w:val="000072B0"/>
    <w:rsid w:val="000073D1"/>
    <w:rsid w:val="00010B1D"/>
    <w:rsid w:val="00011A16"/>
    <w:rsid w:val="00012007"/>
    <w:rsid w:val="00012BF9"/>
    <w:rsid w:val="0001508D"/>
    <w:rsid w:val="00016329"/>
    <w:rsid w:val="0001721E"/>
    <w:rsid w:val="000176D2"/>
    <w:rsid w:val="00017812"/>
    <w:rsid w:val="00017B34"/>
    <w:rsid w:val="0002084E"/>
    <w:rsid w:val="000218F1"/>
    <w:rsid w:val="0002241D"/>
    <w:rsid w:val="0002488F"/>
    <w:rsid w:val="00025089"/>
    <w:rsid w:val="000256B8"/>
    <w:rsid w:val="0002765E"/>
    <w:rsid w:val="0002791C"/>
    <w:rsid w:val="000300E5"/>
    <w:rsid w:val="00030F8D"/>
    <w:rsid w:val="000310AB"/>
    <w:rsid w:val="0003150F"/>
    <w:rsid w:val="00034014"/>
    <w:rsid w:val="000357BE"/>
    <w:rsid w:val="00036FDA"/>
    <w:rsid w:val="00037046"/>
    <w:rsid w:val="00037BFE"/>
    <w:rsid w:val="000400CD"/>
    <w:rsid w:val="00040E36"/>
    <w:rsid w:val="00042755"/>
    <w:rsid w:val="0004442A"/>
    <w:rsid w:val="00045650"/>
    <w:rsid w:val="000458E9"/>
    <w:rsid w:val="00046301"/>
    <w:rsid w:val="00046589"/>
    <w:rsid w:val="00046840"/>
    <w:rsid w:val="00050628"/>
    <w:rsid w:val="0005073D"/>
    <w:rsid w:val="00051004"/>
    <w:rsid w:val="00051451"/>
    <w:rsid w:val="000530FF"/>
    <w:rsid w:val="00053887"/>
    <w:rsid w:val="00054BDB"/>
    <w:rsid w:val="000558CB"/>
    <w:rsid w:val="00055F78"/>
    <w:rsid w:val="0005674F"/>
    <w:rsid w:val="00056D53"/>
    <w:rsid w:val="0005797F"/>
    <w:rsid w:val="00060AB6"/>
    <w:rsid w:val="00061657"/>
    <w:rsid w:val="00063F3C"/>
    <w:rsid w:val="00066C19"/>
    <w:rsid w:val="00066E8A"/>
    <w:rsid w:val="00067753"/>
    <w:rsid w:val="000678F3"/>
    <w:rsid w:val="00071486"/>
    <w:rsid w:val="00074A1A"/>
    <w:rsid w:val="00076007"/>
    <w:rsid w:val="000764FC"/>
    <w:rsid w:val="00077B36"/>
    <w:rsid w:val="00080677"/>
    <w:rsid w:val="00080EAF"/>
    <w:rsid w:val="00082606"/>
    <w:rsid w:val="00082AC2"/>
    <w:rsid w:val="000832DC"/>
    <w:rsid w:val="00083932"/>
    <w:rsid w:val="00083A84"/>
    <w:rsid w:val="00084388"/>
    <w:rsid w:val="000848E7"/>
    <w:rsid w:val="00084D8F"/>
    <w:rsid w:val="00084E22"/>
    <w:rsid w:val="0008698B"/>
    <w:rsid w:val="0008740E"/>
    <w:rsid w:val="00090149"/>
    <w:rsid w:val="00090298"/>
    <w:rsid w:val="00090E25"/>
    <w:rsid w:val="00091262"/>
    <w:rsid w:val="00092611"/>
    <w:rsid w:val="00092751"/>
    <w:rsid w:val="00094875"/>
    <w:rsid w:val="00095523"/>
    <w:rsid w:val="00095963"/>
    <w:rsid w:val="00095BDA"/>
    <w:rsid w:val="0009606F"/>
    <w:rsid w:val="00096323"/>
    <w:rsid w:val="00096979"/>
    <w:rsid w:val="000A032D"/>
    <w:rsid w:val="000A36E7"/>
    <w:rsid w:val="000A3B2A"/>
    <w:rsid w:val="000A5F08"/>
    <w:rsid w:val="000A7096"/>
    <w:rsid w:val="000A7689"/>
    <w:rsid w:val="000A7727"/>
    <w:rsid w:val="000A7AA8"/>
    <w:rsid w:val="000A7ACA"/>
    <w:rsid w:val="000B03C8"/>
    <w:rsid w:val="000B053B"/>
    <w:rsid w:val="000B0DED"/>
    <w:rsid w:val="000B12C5"/>
    <w:rsid w:val="000B1350"/>
    <w:rsid w:val="000B2129"/>
    <w:rsid w:val="000B2E0E"/>
    <w:rsid w:val="000B4170"/>
    <w:rsid w:val="000B4202"/>
    <w:rsid w:val="000B4548"/>
    <w:rsid w:val="000B4975"/>
    <w:rsid w:val="000B61C1"/>
    <w:rsid w:val="000B6FDD"/>
    <w:rsid w:val="000B7DF9"/>
    <w:rsid w:val="000B7FFA"/>
    <w:rsid w:val="000C04DA"/>
    <w:rsid w:val="000C0FBA"/>
    <w:rsid w:val="000C13E2"/>
    <w:rsid w:val="000C3188"/>
    <w:rsid w:val="000C3A04"/>
    <w:rsid w:val="000C3E55"/>
    <w:rsid w:val="000C548B"/>
    <w:rsid w:val="000C5E95"/>
    <w:rsid w:val="000C70D2"/>
    <w:rsid w:val="000C7672"/>
    <w:rsid w:val="000D016A"/>
    <w:rsid w:val="000D24CD"/>
    <w:rsid w:val="000D273A"/>
    <w:rsid w:val="000D2914"/>
    <w:rsid w:val="000D2BE8"/>
    <w:rsid w:val="000D2EF0"/>
    <w:rsid w:val="000D44BE"/>
    <w:rsid w:val="000D4ED4"/>
    <w:rsid w:val="000D513F"/>
    <w:rsid w:val="000D5AC5"/>
    <w:rsid w:val="000D5E2E"/>
    <w:rsid w:val="000E2092"/>
    <w:rsid w:val="000E3566"/>
    <w:rsid w:val="000E3D09"/>
    <w:rsid w:val="000E45E4"/>
    <w:rsid w:val="000E7704"/>
    <w:rsid w:val="000F150B"/>
    <w:rsid w:val="000F2053"/>
    <w:rsid w:val="000F2A21"/>
    <w:rsid w:val="000F52AB"/>
    <w:rsid w:val="000F60F5"/>
    <w:rsid w:val="000F626C"/>
    <w:rsid w:val="000F725D"/>
    <w:rsid w:val="000F7387"/>
    <w:rsid w:val="000F7783"/>
    <w:rsid w:val="0010043C"/>
    <w:rsid w:val="00102BB6"/>
    <w:rsid w:val="00102E4C"/>
    <w:rsid w:val="0010573F"/>
    <w:rsid w:val="00105BCC"/>
    <w:rsid w:val="00105FA6"/>
    <w:rsid w:val="00107049"/>
    <w:rsid w:val="001073CA"/>
    <w:rsid w:val="00107972"/>
    <w:rsid w:val="00110DCC"/>
    <w:rsid w:val="00110DCD"/>
    <w:rsid w:val="001112B5"/>
    <w:rsid w:val="00111526"/>
    <w:rsid w:val="00111862"/>
    <w:rsid w:val="00111F8D"/>
    <w:rsid w:val="001129D6"/>
    <w:rsid w:val="00114105"/>
    <w:rsid w:val="0011425F"/>
    <w:rsid w:val="001147D8"/>
    <w:rsid w:val="00114A2E"/>
    <w:rsid w:val="00114FC3"/>
    <w:rsid w:val="00115049"/>
    <w:rsid w:val="00115DDA"/>
    <w:rsid w:val="001163C3"/>
    <w:rsid w:val="0011715A"/>
    <w:rsid w:val="00117C94"/>
    <w:rsid w:val="00120449"/>
    <w:rsid w:val="001218BF"/>
    <w:rsid w:val="00122C58"/>
    <w:rsid w:val="00122E58"/>
    <w:rsid w:val="001239FB"/>
    <w:rsid w:val="00123F12"/>
    <w:rsid w:val="001243C9"/>
    <w:rsid w:val="001244F4"/>
    <w:rsid w:val="00126DB8"/>
    <w:rsid w:val="00126E28"/>
    <w:rsid w:val="001308C8"/>
    <w:rsid w:val="00136204"/>
    <w:rsid w:val="00137324"/>
    <w:rsid w:val="001405F3"/>
    <w:rsid w:val="001415A2"/>
    <w:rsid w:val="00141B5E"/>
    <w:rsid w:val="00143062"/>
    <w:rsid w:val="001440B7"/>
    <w:rsid w:val="0014431E"/>
    <w:rsid w:val="001451A8"/>
    <w:rsid w:val="00145508"/>
    <w:rsid w:val="00147535"/>
    <w:rsid w:val="00147A28"/>
    <w:rsid w:val="00151102"/>
    <w:rsid w:val="0015130E"/>
    <w:rsid w:val="00153932"/>
    <w:rsid w:val="001542BF"/>
    <w:rsid w:val="001545AE"/>
    <w:rsid w:val="00154F9E"/>
    <w:rsid w:val="001558AE"/>
    <w:rsid w:val="00157AF8"/>
    <w:rsid w:val="001616BB"/>
    <w:rsid w:val="0016191A"/>
    <w:rsid w:val="00162A46"/>
    <w:rsid w:val="001632D6"/>
    <w:rsid w:val="00163B7D"/>
    <w:rsid w:val="001642D0"/>
    <w:rsid w:val="001643E3"/>
    <w:rsid w:val="001652D3"/>
    <w:rsid w:val="0016721D"/>
    <w:rsid w:val="001708EB"/>
    <w:rsid w:val="00171550"/>
    <w:rsid w:val="00172116"/>
    <w:rsid w:val="00172387"/>
    <w:rsid w:val="001727F2"/>
    <w:rsid w:val="00173FB8"/>
    <w:rsid w:val="001761C6"/>
    <w:rsid w:val="001777BF"/>
    <w:rsid w:val="00180236"/>
    <w:rsid w:val="001805DE"/>
    <w:rsid w:val="00181027"/>
    <w:rsid w:val="00182717"/>
    <w:rsid w:val="00183082"/>
    <w:rsid w:val="00183405"/>
    <w:rsid w:val="00183EDD"/>
    <w:rsid w:val="001846E3"/>
    <w:rsid w:val="00184AC2"/>
    <w:rsid w:val="00185A79"/>
    <w:rsid w:val="00187537"/>
    <w:rsid w:val="00187989"/>
    <w:rsid w:val="001879ED"/>
    <w:rsid w:val="001907EB"/>
    <w:rsid w:val="00190B5B"/>
    <w:rsid w:val="00190C22"/>
    <w:rsid w:val="001918FE"/>
    <w:rsid w:val="00192082"/>
    <w:rsid w:val="001928CD"/>
    <w:rsid w:val="001931DC"/>
    <w:rsid w:val="001934F4"/>
    <w:rsid w:val="00196E07"/>
    <w:rsid w:val="001979FC"/>
    <w:rsid w:val="00197B9B"/>
    <w:rsid w:val="001A141A"/>
    <w:rsid w:val="001A1F51"/>
    <w:rsid w:val="001A2453"/>
    <w:rsid w:val="001A2DA1"/>
    <w:rsid w:val="001A30BA"/>
    <w:rsid w:val="001A3D53"/>
    <w:rsid w:val="001A7A42"/>
    <w:rsid w:val="001B06AA"/>
    <w:rsid w:val="001B08D3"/>
    <w:rsid w:val="001B0D6B"/>
    <w:rsid w:val="001B12A9"/>
    <w:rsid w:val="001B1664"/>
    <w:rsid w:val="001B3923"/>
    <w:rsid w:val="001B6CB4"/>
    <w:rsid w:val="001B6DA8"/>
    <w:rsid w:val="001C03FC"/>
    <w:rsid w:val="001C4340"/>
    <w:rsid w:val="001C4983"/>
    <w:rsid w:val="001C51F1"/>
    <w:rsid w:val="001C5422"/>
    <w:rsid w:val="001C5785"/>
    <w:rsid w:val="001C5C1E"/>
    <w:rsid w:val="001C7E65"/>
    <w:rsid w:val="001D0CB0"/>
    <w:rsid w:val="001D1BE0"/>
    <w:rsid w:val="001D27DC"/>
    <w:rsid w:val="001D4157"/>
    <w:rsid w:val="001D4978"/>
    <w:rsid w:val="001D6939"/>
    <w:rsid w:val="001E009D"/>
    <w:rsid w:val="001E0455"/>
    <w:rsid w:val="001E16AE"/>
    <w:rsid w:val="001E2B4C"/>
    <w:rsid w:val="001E2CD5"/>
    <w:rsid w:val="001E3C77"/>
    <w:rsid w:val="001E5116"/>
    <w:rsid w:val="001E6018"/>
    <w:rsid w:val="001E6034"/>
    <w:rsid w:val="001E64FB"/>
    <w:rsid w:val="001E68EF"/>
    <w:rsid w:val="001E7BB2"/>
    <w:rsid w:val="001F13BF"/>
    <w:rsid w:val="001F1609"/>
    <w:rsid w:val="001F1BB2"/>
    <w:rsid w:val="001F3311"/>
    <w:rsid w:val="001F3631"/>
    <w:rsid w:val="001F41C6"/>
    <w:rsid w:val="001F41D2"/>
    <w:rsid w:val="001F5AAD"/>
    <w:rsid w:val="001F621B"/>
    <w:rsid w:val="001F699A"/>
    <w:rsid w:val="001F6BF7"/>
    <w:rsid w:val="001F7C3F"/>
    <w:rsid w:val="00201A4D"/>
    <w:rsid w:val="002032E2"/>
    <w:rsid w:val="0020369D"/>
    <w:rsid w:val="00205A1C"/>
    <w:rsid w:val="002061AD"/>
    <w:rsid w:val="00206682"/>
    <w:rsid w:val="00211307"/>
    <w:rsid w:val="0021189B"/>
    <w:rsid w:val="00212697"/>
    <w:rsid w:val="00212DCC"/>
    <w:rsid w:val="00212FE4"/>
    <w:rsid w:val="002158C5"/>
    <w:rsid w:val="00216061"/>
    <w:rsid w:val="00216740"/>
    <w:rsid w:val="00216D19"/>
    <w:rsid w:val="00217339"/>
    <w:rsid w:val="00220A49"/>
    <w:rsid w:val="0022166E"/>
    <w:rsid w:val="002218B5"/>
    <w:rsid w:val="00225A8C"/>
    <w:rsid w:val="00225DE3"/>
    <w:rsid w:val="0022688A"/>
    <w:rsid w:val="00226C85"/>
    <w:rsid w:val="0022755C"/>
    <w:rsid w:val="00230A8F"/>
    <w:rsid w:val="0023164B"/>
    <w:rsid w:val="00232598"/>
    <w:rsid w:val="002339AC"/>
    <w:rsid w:val="00233D00"/>
    <w:rsid w:val="00234D9D"/>
    <w:rsid w:val="002350CD"/>
    <w:rsid w:val="00235353"/>
    <w:rsid w:val="00236F73"/>
    <w:rsid w:val="002376A3"/>
    <w:rsid w:val="0024149E"/>
    <w:rsid w:val="002431FA"/>
    <w:rsid w:val="00243ECB"/>
    <w:rsid w:val="0024668D"/>
    <w:rsid w:val="00247C5F"/>
    <w:rsid w:val="00247E87"/>
    <w:rsid w:val="0025086B"/>
    <w:rsid w:val="002537E1"/>
    <w:rsid w:val="00254B16"/>
    <w:rsid w:val="0025538C"/>
    <w:rsid w:val="00256EB9"/>
    <w:rsid w:val="002570D5"/>
    <w:rsid w:val="0025751D"/>
    <w:rsid w:val="00257621"/>
    <w:rsid w:val="00260221"/>
    <w:rsid w:val="00260264"/>
    <w:rsid w:val="00260D16"/>
    <w:rsid w:val="002627B9"/>
    <w:rsid w:val="002645FE"/>
    <w:rsid w:val="00264F56"/>
    <w:rsid w:val="002656F2"/>
    <w:rsid w:val="00267CCC"/>
    <w:rsid w:val="002702CD"/>
    <w:rsid w:val="002702F6"/>
    <w:rsid w:val="00270718"/>
    <w:rsid w:val="002709A4"/>
    <w:rsid w:val="002710BC"/>
    <w:rsid w:val="002720B5"/>
    <w:rsid w:val="00272A52"/>
    <w:rsid w:val="00275C7E"/>
    <w:rsid w:val="002767D1"/>
    <w:rsid w:val="002772F8"/>
    <w:rsid w:val="00277704"/>
    <w:rsid w:val="0027780B"/>
    <w:rsid w:val="00277A42"/>
    <w:rsid w:val="002804E9"/>
    <w:rsid w:val="002809E4"/>
    <w:rsid w:val="00280EC0"/>
    <w:rsid w:val="00281A35"/>
    <w:rsid w:val="00282C5F"/>
    <w:rsid w:val="00283F6D"/>
    <w:rsid w:val="00286876"/>
    <w:rsid w:val="00286877"/>
    <w:rsid w:val="00286B94"/>
    <w:rsid w:val="002903A6"/>
    <w:rsid w:val="002906FB"/>
    <w:rsid w:val="00290B47"/>
    <w:rsid w:val="00291067"/>
    <w:rsid w:val="0029191E"/>
    <w:rsid w:val="0029438A"/>
    <w:rsid w:val="00294D11"/>
    <w:rsid w:val="00295134"/>
    <w:rsid w:val="00295617"/>
    <w:rsid w:val="00296293"/>
    <w:rsid w:val="00296984"/>
    <w:rsid w:val="00296BDA"/>
    <w:rsid w:val="00296C83"/>
    <w:rsid w:val="002977F8"/>
    <w:rsid w:val="002A02F8"/>
    <w:rsid w:val="002A13EC"/>
    <w:rsid w:val="002A21DA"/>
    <w:rsid w:val="002A26A5"/>
    <w:rsid w:val="002A56C3"/>
    <w:rsid w:val="002A71FA"/>
    <w:rsid w:val="002B052C"/>
    <w:rsid w:val="002B2B13"/>
    <w:rsid w:val="002B2ED2"/>
    <w:rsid w:val="002B3BBC"/>
    <w:rsid w:val="002B45E9"/>
    <w:rsid w:val="002B4AC0"/>
    <w:rsid w:val="002B56F0"/>
    <w:rsid w:val="002B61FC"/>
    <w:rsid w:val="002B7F2F"/>
    <w:rsid w:val="002C183C"/>
    <w:rsid w:val="002C1D4B"/>
    <w:rsid w:val="002C2046"/>
    <w:rsid w:val="002C4839"/>
    <w:rsid w:val="002C4C84"/>
    <w:rsid w:val="002C6C3E"/>
    <w:rsid w:val="002D0C17"/>
    <w:rsid w:val="002D1C33"/>
    <w:rsid w:val="002D47EA"/>
    <w:rsid w:val="002D4F09"/>
    <w:rsid w:val="002D53B9"/>
    <w:rsid w:val="002D5D13"/>
    <w:rsid w:val="002D7C21"/>
    <w:rsid w:val="002E1A3F"/>
    <w:rsid w:val="002E1D59"/>
    <w:rsid w:val="002E2AE9"/>
    <w:rsid w:val="002E535D"/>
    <w:rsid w:val="002E6845"/>
    <w:rsid w:val="002E7897"/>
    <w:rsid w:val="002F043F"/>
    <w:rsid w:val="002F0E91"/>
    <w:rsid w:val="002F2CC6"/>
    <w:rsid w:val="002F3360"/>
    <w:rsid w:val="002F4071"/>
    <w:rsid w:val="002F45CF"/>
    <w:rsid w:val="002F59EA"/>
    <w:rsid w:val="002F5F70"/>
    <w:rsid w:val="00300FD9"/>
    <w:rsid w:val="00301330"/>
    <w:rsid w:val="003033AC"/>
    <w:rsid w:val="0030556E"/>
    <w:rsid w:val="00310DA6"/>
    <w:rsid w:val="00314A61"/>
    <w:rsid w:val="00315A24"/>
    <w:rsid w:val="0031645E"/>
    <w:rsid w:val="00316AE6"/>
    <w:rsid w:val="00317447"/>
    <w:rsid w:val="0032154C"/>
    <w:rsid w:val="0032174E"/>
    <w:rsid w:val="0032180A"/>
    <w:rsid w:val="0032239E"/>
    <w:rsid w:val="00322449"/>
    <w:rsid w:val="003233E3"/>
    <w:rsid w:val="0032364A"/>
    <w:rsid w:val="00324270"/>
    <w:rsid w:val="00324676"/>
    <w:rsid w:val="00325ABE"/>
    <w:rsid w:val="00327054"/>
    <w:rsid w:val="00327397"/>
    <w:rsid w:val="00327D51"/>
    <w:rsid w:val="003351AA"/>
    <w:rsid w:val="00336EB2"/>
    <w:rsid w:val="0033779B"/>
    <w:rsid w:val="0034094D"/>
    <w:rsid w:val="00340966"/>
    <w:rsid w:val="00341254"/>
    <w:rsid w:val="003417AB"/>
    <w:rsid w:val="00342370"/>
    <w:rsid w:val="00342FD6"/>
    <w:rsid w:val="00343260"/>
    <w:rsid w:val="00343D6F"/>
    <w:rsid w:val="00343E9E"/>
    <w:rsid w:val="00344103"/>
    <w:rsid w:val="00344C09"/>
    <w:rsid w:val="00347702"/>
    <w:rsid w:val="003506C8"/>
    <w:rsid w:val="00350F9A"/>
    <w:rsid w:val="00351B55"/>
    <w:rsid w:val="00351D12"/>
    <w:rsid w:val="003549B1"/>
    <w:rsid w:val="00354CB7"/>
    <w:rsid w:val="003554FF"/>
    <w:rsid w:val="00355670"/>
    <w:rsid w:val="003565BB"/>
    <w:rsid w:val="00357BF9"/>
    <w:rsid w:val="003619D7"/>
    <w:rsid w:val="00361F1A"/>
    <w:rsid w:val="00362297"/>
    <w:rsid w:val="00362B54"/>
    <w:rsid w:val="00363813"/>
    <w:rsid w:val="003638C4"/>
    <w:rsid w:val="00363A88"/>
    <w:rsid w:val="00364070"/>
    <w:rsid w:val="003644E7"/>
    <w:rsid w:val="00364A2C"/>
    <w:rsid w:val="00365400"/>
    <w:rsid w:val="003654CD"/>
    <w:rsid w:val="00365C86"/>
    <w:rsid w:val="00366EA8"/>
    <w:rsid w:val="00371397"/>
    <w:rsid w:val="00371A50"/>
    <w:rsid w:val="0037282C"/>
    <w:rsid w:val="00372AF5"/>
    <w:rsid w:val="00373E37"/>
    <w:rsid w:val="00374B13"/>
    <w:rsid w:val="00375195"/>
    <w:rsid w:val="003757D8"/>
    <w:rsid w:val="00377B5C"/>
    <w:rsid w:val="003824D8"/>
    <w:rsid w:val="00383326"/>
    <w:rsid w:val="00384EB8"/>
    <w:rsid w:val="00385571"/>
    <w:rsid w:val="00387588"/>
    <w:rsid w:val="00387C8F"/>
    <w:rsid w:val="0039159F"/>
    <w:rsid w:val="00391BC9"/>
    <w:rsid w:val="0039208C"/>
    <w:rsid w:val="003921E8"/>
    <w:rsid w:val="00395F1F"/>
    <w:rsid w:val="00396B3C"/>
    <w:rsid w:val="003976EE"/>
    <w:rsid w:val="00397D87"/>
    <w:rsid w:val="003A0E97"/>
    <w:rsid w:val="003A1746"/>
    <w:rsid w:val="003A198B"/>
    <w:rsid w:val="003A45E2"/>
    <w:rsid w:val="003A4B00"/>
    <w:rsid w:val="003A4B8F"/>
    <w:rsid w:val="003A4ED2"/>
    <w:rsid w:val="003A7C20"/>
    <w:rsid w:val="003B086D"/>
    <w:rsid w:val="003B094A"/>
    <w:rsid w:val="003B1467"/>
    <w:rsid w:val="003B1919"/>
    <w:rsid w:val="003B24A2"/>
    <w:rsid w:val="003B2545"/>
    <w:rsid w:val="003B4810"/>
    <w:rsid w:val="003B5A2E"/>
    <w:rsid w:val="003B5C51"/>
    <w:rsid w:val="003C15AC"/>
    <w:rsid w:val="003C1B17"/>
    <w:rsid w:val="003C1DA4"/>
    <w:rsid w:val="003C23F8"/>
    <w:rsid w:val="003C26EF"/>
    <w:rsid w:val="003C279F"/>
    <w:rsid w:val="003C4073"/>
    <w:rsid w:val="003C5147"/>
    <w:rsid w:val="003C5324"/>
    <w:rsid w:val="003C5801"/>
    <w:rsid w:val="003C6F2D"/>
    <w:rsid w:val="003D0503"/>
    <w:rsid w:val="003D19F1"/>
    <w:rsid w:val="003E1682"/>
    <w:rsid w:val="003E1E0A"/>
    <w:rsid w:val="003E1FA0"/>
    <w:rsid w:val="003E2AA4"/>
    <w:rsid w:val="003E37EE"/>
    <w:rsid w:val="003E66A5"/>
    <w:rsid w:val="003E7BC7"/>
    <w:rsid w:val="003F0516"/>
    <w:rsid w:val="003F48A6"/>
    <w:rsid w:val="003F5122"/>
    <w:rsid w:val="003F65C3"/>
    <w:rsid w:val="003F6F54"/>
    <w:rsid w:val="003F73CE"/>
    <w:rsid w:val="0040095F"/>
    <w:rsid w:val="004010C2"/>
    <w:rsid w:val="004015A8"/>
    <w:rsid w:val="00401C8C"/>
    <w:rsid w:val="00402816"/>
    <w:rsid w:val="00402FB6"/>
    <w:rsid w:val="00403EC7"/>
    <w:rsid w:val="00404E3B"/>
    <w:rsid w:val="004100BF"/>
    <w:rsid w:val="0041035D"/>
    <w:rsid w:val="004104F2"/>
    <w:rsid w:val="00410F37"/>
    <w:rsid w:val="00412A09"/>
    <w:rsid w:val="00412F4F"/>
    <w:rsid w:val="00413B5A"/>
    <w:rsid w:val="004142D5"/>
    <w:rsid w:val="00414ED3"/>
    <w:rsid w:val="00415E0C"/>
    <w:rsid w:val="004179B2"/>
    <w:rsid w:val="0042074A"/>
    <w:rsid w:val="00421DFB"/>
    <w:rsid w:val="0042291E"/>
    <w:rsid w:val="004230B4"/>
    <w:rsid w:val="004235F3"/>
    <w:rsid w:val="00423D97"/>
    <w:rsid w:val="0042486D"/>
    <w:rsid w:val="00425BFB"/>
    <w:rsid w:val="004273DE"/>
    <w:rsid w:val="00427E64"/>
    <w:rsid w:val="00427F92"/>
    <w:rsid w:val="00430529"/>
    <w:rsid w:val="00430D76"/>
    <w:rsid w:val="004322E9"/>
    <w:rsid w:val="00433E2E"/>
    <w:rsid w:val="00433FF5"/>
    <w:rsid w:val="004346A4"/>
    <w:rsid w:val="004358E1"/>
    <w:rsid w:val="00435B82"/>
    <w:rsid w:val="00435DC7"/>
    <w:rsid w:val="00436ACA"/>
    <w:rsid w:val="00436EB4"/>
    <w:rsid w:val="004405E5"/>
    <w:rsid w:val="00440D16"/>
    <w:rsid w:val="00440D3D"/>
    <w:rsid w:val="004429BF"/>
    <w:rsid w:val="00442AE0"/>
    <w:rsid w:val="00443021"/>
    <w:rsid w:val="00443C00"/>
    <w:rsid w:val="00444784"/>
    <w:rsid w:val="0044661F"/>
    <w:rsid w:val="00451632"/>
    <w:rsid w:val="0045168D"/>
    <w:rsid w:val="00455665"/>
    <w:rsid w:val="004569FB"/>
    <w:rsid w:val="00457450"/>
    <w:rsid w:val="00457684"/>
    <w:rsid w:val="00457E31"/>
    <w:rsid w:val="00460F76"/>
    <w:rsid w:val="0046215F"/>
    <w:rsid w:val="00462D34"/>
    <w:rsid w:val="004640D3"/>
    <w:rsid w:val="00464732"/>
    <w:rsid w:val="00465805"/>
    <w:rsid w:val="00466DD5"/>
    <w:rsid w:val="0046724E"/>
    <w:rsid w:val="00467F44"/>
    <w:rsid w:val="00470576"/>
    <w:rsid w:val="0047424F"/>
    <w:rsid w:val="00474E5B"/>
    <w:rsid w:val="004755DB"/>
    <w:rsid w:val="00476A74"/>
    <w:rsid w:val="00476B80"/>
    <w:rsid w:val="00476E00"/>
    <w:rsid w:val="00480CA9"/>
    <w:rsid w:val="00481A71"/>
    <w:rsid w:val="00481C63"/>
    <w:rsid w:val="00482A79"/>
    <w:rsid w:val="00485257"/>
    <w:rsid w:val="0048590B"/>
    <w:rsid w:val="00486CF9"/>
    <w:rsid w:val="0048717C"/>
    <w:rsid w:val="004873E0"/>
    <w:rsid w:val="004874EC"/>
    <w:rsid w:val="004877F5"/>
    <w:rsid w:val="00487E51"/>
    <w:rsid w:val="004902C7"/>
    <w:rsid w:val="004908E9"/>
    <w:rsid w:val="00490C51"/>
    <w:rsid w:val="00490C6B"/>
    <w:rsid w:val="0049196F"/>
    <w:rsid w:val="004922DA"/>
    <w:rsid w:val="0049413E"/>
    <w:rsid w:val="00494DCF"/>
    <w:rsid w:val="00495728"/>
    <w:rsid w:val="00495A64"/>
    <w:rsid w:val="00495E72"/>
    <w:rsid w:val="004965C1"/>
    <w:rsid w:val="00496B7E"/>
    <w:rsid w:val="00496E5B"/>
    <w:rsid w:val="004A017F"/>
    <w:rsid w:val="004A0AD6"/>
    <w:rsid w:val="004A1535"/>
    <w:rsid w:val="004A1AC0"/>
    <w:rsid w:val="004A252E"/>
    <w:rsid w:val="004A34E4"/>
    <w:rsid w:val="004A4F77"/>
    <w:rsid w:val="004A734E"/>
    <w:rsid w:val="004B064A"/>
    <w:rsid w:val="004B0A40"/>
    <w:rsid w:val="004B0FB5"/>
    <w:rsid w:val="004B1467"/>
    <w:rsid w:val="004B17FB"/>
    <w:rsid w:val="004B1D18"/>
    <w:rsid w:val="004B2806"/>
    <w:rsid w:val="004B4415"/>
    <w:rsid w:val="004B469E"/>
    <w:rsid w:val="004B57B4"/>
    <w:rsid w:val="004B588D"/>
    <w:rsid w:val="004B7BB6"/>
    <w:rsid w:val="004C1112"/>
    <w:rsid w:val="004C3B67"/>
    <w:rsid w:val="004C3C46"/>
    <w:rsid w:val="004C3E27"/>
    <w:rsid w:val="004C5407"/>
    <w:rsid w:val="004C5474"/>
    <w:rsid w:val="004C59B2"/>
    <w:rsid w:val="004C5B3F"/>
    <w:rsid w:val="004C691E"/>
    <w:rsid w:val="004C7794"/>
    <w:rsid w:val="004D2754"/>
    <w:rsid w:val="004D2D2C"/>
    <w:rsid w:val="004D2D52"/>
    <w:rsid w:val="004D3302"/>
    <w:rsid w:val="004D41D8"/>
    <w:rsid w:val="004D6B2B"/>
    <w:rsid w:val="004E0473"/>
    <w:rsid w:val="004E0B8E"/>
    <w:rsid w:val="004E0CA0"/>
    <w:rsid w:val="004E10E7"/>
    <w:rsid w:val="004E1C4A"/>
    <w:rsid w:val="004E1EAE"/>
    <w:rsid w:val="004E3C80"/>
    <w:rsid w:val="004E55EC"/>
    <w:rsid w:val="004E5EE3"/>
    <w:rsid w:val="004E6F25"/>
    <w:rsid w:val="004F2054"/>
    <w:rsid w:val="004F550F"/>
    <w:rsid w:val="004F55FF"/>
    <w:rsid w:val="004F5AB5"/>
    <w:rsid w:val="004F635E"/>
    <w:rsid w:val="004F6E39"/>
    <w:rsid w:val="004F7659"/>
    <w:rsid w:val="005006DD"/>
    <w:rsid w:val="005016B1"/>
    <w:rsid w:val="00502DA1"/>
    <w:rsid w:val="00503B0B"/>
    <w:rsid w:val="00503D92"/>
    <w:rsid w:val="00504D3F"/>
    <w:rsid w:val="00505747"/>
    <w:rsid w:val="0050634B"/>
    <w:rsid w:val="00512FA6"/>
    <w:rsid w:val="00513CA7"/>
    <w:rsid w:val="0051525A"/>
    <w:rsid w:val="0051583F"/>
    <w:rsid w:val="00516171"/>
    <w:rsid w:val="005200E9"/>
    <w:rsid w:val="00520587"/>
    <w:rsid w:val="005220BA"/>
    <w:rsid w:val="00522105"/>
    <w:rsid w:val="0052476C"/>
    <w:rsid w:val="005247E5"/>
    <w:rsid w:val="00524F93"/>
    <w:rsid w:val="00525709"/>
    <w:rsid w:val="005260FF"/>
    <w:rsid w:val="0052688B"/>
    <w:rsid w:val="00526D92"/>
    <w:rsid w:val="0053028C"/>
    <w:rsid w:val="00531B6C"/>
    <w:rsid w:val="00531DCA"/>
    <w:rsid w:val="00531DDE"/>
    <w:rsid w:val="00531E33"/>
    <w:rsid w:val="00532727"/>
    <w:rsid w:val="00533128"/>
    <w:rsid w:val="00533474"/>
    <w:rsid w:val="00534091"/>
    <w:rsid w:val="00535767"/>
    <w:rsid w:val="00535FD4"/>
    <w:rsid w:val="0053717F"/>
    <w:rsid w:val="0054112A"/>
    <w:rsid w:val="00541B53"/>
    <w:rsid w:val="00544647"/>
    <w:rsid w:val="00546F37"/>
    <w:rsid w:val="00547547"/>
    <w:rsid w:val="005539C2"/>
    <w:rsid w:val="00553B02"/>
    <w:rsid w:val="00554A8E"/>
    <w:rsid w:val="00556DF4"/>
    <w:rsid w:val="00557108"/>
    <w:rsid w:val="005576E2"/>
    <w:rsid w:val="005605BD"/>
    <w:rsid w:val="0056120E"/>
    <w:rsid w:val="00561D42"/>
    <w:rsid w:val="00562B59"/>
    <w:rsid w:val="0056303E"/>
    <w:rsid w:val="005640AF"/>
    <w:rsid w:val="00566739"/>
    <w:rsid w:val="00566A53"/>
    <w:rsid w:val="0056717A"/>
    <w:rsid w:val="005672D8"/>
    <w:rsid w:val="0057013D"/>
    <w:rsid w:val="00570259"/>
    <w:rsid w:val="0057102E"/>
    <w:rsid w:val="0057277D"/>
    <w:rsid w:val="00573652"/>
    <w:rsid w:val="005737CD"/>
    <w:rsid w:val="00574A05"/>
    <w:rsid w:val="00574F6A"/>
    <w:rsid w:val="005769A7"/>
    <w:rsid w:val="005775E2"/>
    <w:rsid w:val="0058031F"/>
    <w:rsid w:val="00580A95"/>
    <w:rsid w:val="00581A97"/>
    <w:rsid w:val="00581C28"/>
    <w:rsid w:val="00584251"/>
    <w:rsid w:val="005851AB"/>
    <w:rsid w:val="0058542D"/>
    <w:rsid w:val="00585652"/>
    <w:rsid w:val="005860E8"/>
    <w:rsid w:val="0058617A"/>
    <w:rsid w:val="0058757B"/>
    <w:rsid w:val="0059008A"/>
    <w:rsid w:val="005909DA"/>
    <w:rsid w:val="00590B4A"/>
    <w:rsid w:val="00590E49"/>
    <w:rsid w:val="00591D87"/>
    <w:rsid w:val="005929BA"/>
    <w:rsid w:val="0059308D"/>
    <w:rsid w:val="005938A8"/>
    <w:rsid w:val="00593BD3"/>
    <w:rsid w:val="005952CF"/>
    <w:rsid w:val="00596604"/>
    <w:rsid w:val="005970B1"/>
    <w:rsid w:val="005A0490"/>
    <w:rsid w:val="005A1647"/>
    <w:rsid w:val="005A415E"/>
    <w:rsid w:val="005A463B"/>
    <w:rsid w:val="005A4ABD"/>
    <w:rsid w:val="005A4CB4"/>
    <w:rsid w:val="005A5F3D"/>
    <w:rsid w:val="005A7F4E"/>
    <w:rsid w:val="005B0D06"/>
    <w:rsid w:val="005B10EE"/>
    <w:rsid w:val="005B21DD"/>
    <w:rsid w:val="005B4281"/>
    <w:rsid w:val="005B5798"/>
    <w:rsid w:val="005B5EF1"/>
    <w:rsid w:val="005B6584"/>
    <w:rsid w:val="005B7424"/>
    <w:rsid w:val="005B759C"/>
    <w:rsid w:val="005C0E2A"/>
    <w:rsid w:val="005C0E5C"/>
    <w:rsid w:val="005C178D"/>
    <w:rsid w:val="005C2609"/>
    <w:rsid w:val="005C4645"/>
    <w:rsid w:val="005C5CE5"/>
    <w:rsid w:val="005C691D"/>
    <w:rsid w:val="005D2435"/>
    <w:rsid w:val="005D30D3"/>
    <w:rsid w:val="005D3711"/>
    <w:rsid w:val="005D39F6"/>
    <w:rsid w:val="005D4428"/>
    <w:rsid w:val="005D57B1"/>
    <w:rsid w:val="005D6DB2"/>
    <w:rsid w:val="005D6E32"/>
    <w:rsid w:val="005D7E5A"/>
    <w:rsid w:val="005E1E51"/>
    <w:rsid w:val="005E2FB8"/>
    <w:rsid w:val="005E4C49"/>
    <w:rsid w:val="005E629C"/>
    <w:rsid w:val="005E6B6B"/>
    <w:rsid w:val="005E7342"/>
    <w:rsid w:val="005E768C"/>
    <w:rsid w:val="005F118A"/>
    <w:rsid w:val="005F1AE1"/>
    <w:rsid w:val="005F1D32"/>
    <w:rsid w:val="005F1E09"/>
    <w:rsid w:val="005F21FA"/>
    <w:rsid w:val="005F2B90"/>
    <w:rsid w:val="005F32AC"/>
    <w:rsid w:val="005F55AE"/>
    <w:rsid w:val="005F56CF"/>
    <w:rsid w:val="005F6778"/>
    <w:rsid w:val="005F6840"/>
    <w:rsid w:val="00600E34"/>
    <w:rsid w:val="00600EF9"/>
    <w:rsid w:val="00601243"/>
    <w:rsid w:val="00601375"/>
    <w:rsid w:val="00601B35"/>
    <w:rsid w:val="00602CCD"/>
    <w:rsid w:val="00603004"/>
    <w:rsid w:val="006034A7"/>
    <w:rsid w:val="00604496"/>
    <w:rsid w:val="00604820"/>
    <w:rsid w:val="006058FC"/>
    <w:rsid w:val="006075EB"/>
    <w:rsid w:val="006078FE"/>
    <w:rsid w:val="00610539"/>
    <w:rsid w:val="006115D6"/>
    <w:rsid w:val="00612A0A"/>
    <w:rsid w:val="00612CDE"/>
    <w:rsid w:val="00613E26"/>
    <w:rsid w:val="00614006"/>
    <w:rsid w:val="00614A99"/>
    <w:rsid w:val="0061626F"/>
    <w:rsid w:val="00616433"/>
    <w:rsid w:val="00617146"/>
    <w:rsid w:val="0061725F"/>
    <w:rsid w:val="0062022A"/>
    <w:rsid w:val="0062128C"/>
    <w:rsid w:val="006218F3"/>
    <w:rsid w:val="0062338B"/>
    <w:rsid w:val="006237DD"/>
    <w:rsid w:val="00623C17"/>
    <w:rsid w:val="00625EFD"/>
    <w:rsid w:val="00626974"/>
    <w:rsid w:val="00627621"/>
    <w:rsid w:val="00627B3E"/>
    <w:rsid w:val="00627CB9"/>
    <w:rsid w:val="00630DED"/>
    <w:rsid w:val="006312C1"/>
    <w:rsid w:val="006314AA"/>
    <w:rsid w:val="00631543"/>
    <w:rsid w:val="006318E1"/>
    <w:rsid w:val="0063333D"/>
    <w:rsid w:val="00634FDD"/>
    <w:rsid w:val="00636682"/>
    <w:rsid w:val="006378CB"/>
    <w:rsid w:val="00640499"/>
    <w:rsid w:val="006412E9"/>
    <w:rsid w:val="00641E19"/>
    <w:rsid w:val="00642822"/>
    <w:rsid w:val="00650252"/>
    <w:rsid w:val="006504F7"/>
    <w:rsid w:val="00651220"/>
    <w:rsid w:val="00653261"/>
    <w:rsid w:val="006536A9"/>
    <w:rsid w:val="00656A73"/>
    <w:rsid w:val="006601A3"/>
    <w:rsid w:val="006604D3"/>
    <w:rsid w:val="00662B0C"/>
    <w:rsid w:val="006636F3"/>
    <w:rsid w:val="006642EF"/>
    <w:rsid w:val="00664D4C"/>
    <w:rsid w:val="00667C14"/>
    <w:rsid w:val="00670038"/>
    <w:rsid w:val="00671CB3"/>
    <w:rsid w:val="006729B3"/>
    <w:rsid w:val="00675F94"/>
    <w:rsid w:val="00677BFA"/>
    <w:rsid w:val="00680B35"/>
    <w:rsid w:val="00680B48"/>
    <w:rsid w:val="00680BB2"/>
    <w:rsid w:val="006828F2"/>
    <w:rsid w:val="00682F59"/>
    <w:rsid w:val="0068461E"/>
    <w:rsid w:val="00686D84"/>
    <w:rsid w:val="00687048"/>
    <w:rsid w:val="00687F60"/>
    <w:rsid w:val="0069334F"/>
    <w:rsid w:val="00696362"/>
    <w:rsid w:val="0069795D"/>
    <w:rsid w:val="006A01FF"/>
    <w:rsid w:val="006A288D"/>
    <w:rsid w:val="006A364A"/>
    <w:rsid w:val="006A38F3"/>
    <w:rsid w:val="006A3FD2"/>
    <w:rsid w:val="006A4952"/>
    <w:rsid w:val="006A4BC4"/>
    <w:rsid w:val="006A4D9D"/>
    <w:rsid w:val="006A56BE"/>
    <w:rsid w:val="006A612D"/>
    <w:rsid w:val="006A6268"/>
    <w:rsid w:val="006A726B"/>
    <w:rsid w:val="006B16FF"/>
    <w:rsid w:val="006B19AD"/>
    <w:rsid w:val="006B1E0C"/>
    <w:rsid w:val="006B2202"/>
    <w:rsid w:val="006B2EC3"/>
    <w:rsid w:val="006B3822"/>
    <w:rsid w:val="006B39A2"/>
    <w:rsid w:val="006B4100"/>
    <w:rsid w:val="006B4F76"/>
    <w:rsid w:val="006B58E3"/>
    <w:rsid w:val="006B60E2"/>
    <w:rsid w:val="006B7FBA"/>
    <w:rsid w:val="006C0630"/>
    <w:rsid w:val="006C0F3A"/>
    <w:rsid w:val="006C1C98"/>
    <w:rsid w:val="006C3294"/>
    <w:rsid w:val="006C3659"/>
    <w:rsid w:val="006C3814"/>
    <w:rsid w:val="006C3BAF"/>
    <w:rsid w:val="006C3C9E"/>
    <w:rsid w:val="006C3FB2"/>
    <w:rsid w:val="006C4055"/>
    <w:rsid w:val="006C4674"/>
    <w:rsid w:val="006C516A"/>
    <w:rsid w:val="006C62A6"/>
    <w:rsid w:val="006C68B8"/>
    <w:rsid w:val="006C6CFC"/>
    <w:rsid w:val="006C7AED"/>
    <w:rsid w:val="006D0434"/>
    <w:rsid w:val="006D25C6"/>
    <w:rsid w:val="006D26E0"/>
    <w:rsid w:val="006D32BE"/>
    <w:rsid w:val="006D367C"/>
    <w:rsid w:val="006D37A4"/>
    <w:rsid w:val="006D3802"/>
    <w:rsid w:val="006D3C9C"/>
    <w:rsid w:val="006D5106"/>
    <w:rsid w:val="006D558E"/>
    <w:rsid w:val="006D64FE"/>
    <w:rsid w:val="006D79DD"/>
    <w:rsid w:val="006D7EB3"/>
    <w:rsid w:val="006E0C60"/>
    <w:rsid w:val="006E0DCD"/>
    <w:rsid w:val="006E1ABF"/>
    <w:rsid w:val="006E26CB"/>
    <w:rsid w:val="006E299C"/>
    <w:rsid w:val="006E3B23"/>
    <w:rsid w:val="006E45D9"/>
    <w:rsid w:val="006E54F1"/>
    <w:rsid w:val="006E5D1F"/>
    <w:rsid w:val="006E6B30"/>
    <w:rsid w:val="006E716F"/>
    <w:rsid w:val="006E7745"/>
    <w:rsid w:val="006F08FE"/>
    <w:rsid w:val="006F2C76"/>
    <w:rsid w:val="006F3AED"/>
    <w:rsid w:val="006F4222"/>
    <w:rsid w:val="006F5D55"/>
    <w:rsid w:val="006F752C"/>
    <w:rsid w:val="00700039"/>
    <w:rsid w:val="007004E3"/>
    <w:rsid w:val="00700656"/>
    <w:rsid w:val="00700CF4"/>
    <w:rsid w:val="00702885"/>
    <w:rsid w:val="007037A8"/>
    <w:rsid w:val="00704DC0"/>
    <w:rsid w:val="0070722D"/>
    <w:rsid w:val="00710080"/>
    <w:rsid w:val="00711DF0"/>
    <w:rsid w:val="00711F59"/>
    <w:rsid w:val="007128CD"/>
    <w:rsid w:val="00712A94"/>
    <w:rsid w:val="00712EFE"/>
    <w:rsid w:val="00712F6A"/>
    <w:rsid w:val="007145A7"/>
    <w:rsid w:val="00714CEB"/>
    <w:rsid w:val="00715AA0"/>
    <w:rsid w:val="00716C33"/>
    <w:rsid w:val="0072131D"/>
    <w:rsid w:val="007233A7"/>
    <w:rsid w:val="00724B5F"/>
    <w:rsid w:val="00726837"/>
    <w:rsid w:val="0073033B"/>
    <w:rsid w:val="00730CC2"/>
    <w:rsid w:val="00733E8C"/>
    <w:rsid w:val="00733FAC"/>
    <w:rsid w:val="007343AC"/>
    <w:rsid w:val="007346C1"/>
    <w:rsid w:val="0073596C"/>
    <w:rsid w:val="00735BDB"/>
    <w:rsid w:val="00736488"/>
    <w:rsid w:val="007367EC"/>
    <w:rsid w:val="0074091A"/>
    <w:rsid w:val="00742B86"/>
    <w:rsid w:val="00743F9B"/>
    <w:rsid w:val="00744CDD"/>
    <w:rsid w:val="00744D85"/>
    <w:rsid w:val="00745215"/>
    <w:rsid w:val="00747B97"/>
    <w:rsid w:val="00747D82"/>
    <w:rsid w:val="00750526"/>
    <w:rsid w:val="007508B3"/>
    <w:rsid w:val="00750A5B"/>
    <w:rsid w:val="00752356"/>
    <w:rsid w:val="00752E7E"/>
    <w:rsid w:val="00754250"/>
    <w:rsid w:val="00754A4F"/>
    <w:rsid w:val="0075502B"/>
    <w:rsid w:val="00755D16"/>
    <w:rsid w:val="0075649C"/>
    <w:rsid w:val="00756FC3"/>
    <w:rsid w:val="00757323"/>
    <w:rsid w:val="00757343"/>
    <w:rsid w:val="00760DD0"/>
    <w:rsid w:val="00761513"/>
    <w:rsid w:val="0076238E"/>
    <w:rsid w:val="007633F4"/>
    <w:rsid w:val="00763854"/>
    <w:rsid w:val="00763D37"/>
    <w:rsid w:val="00764938"/>
    <w:rsid w:val="00764C50"/>
    <w:rsid w:val="00765ED5"/>
    <w:rsid w:val="007660ED"/>
    <w:rsid w:val="00767F50"/>
    <w:rsid w:val="00770631"/>
    <w:rsid w:val="007725A2"/>
    <w:rsid w:val="00772A61"/>
    <w:rsid w:val="00773F25"/>
    <w:rsid w:val="0077453D"/>
    <w:rsid w:val="0077455D"/>
    <w:rsid w:val="0077476E"/>
    <w:rsid w:val="007767E7"/>
    <w:rsid w:val="0077696A"/>
    <w:rsid w:val="00776C10"/>
    <w:rsid w:val="00776FBE"/>
    <w:rsid w:val="0077711B"/>
    <w:rsid w:val="00777DF1"/>
    <w:rsid w:val="00777F47"/>
    <w:rsid w:val="00780527"/>
    <w:rsid w:val="007808E9"/>
    <w:rsid w:val="00780ED6"/>
    <w:rsid w:val="00781A24"/>
    <w:rsid w:val="007821D8"/>
    <w:rsid w:val="00784798"/>
    <w:rsid w:val="007854D4"/>
    <w:rsid w:val="00786B50"/>
    <w:rsid w:val="00786C4A"/>
    <w:rsid w:val="0078760F"/>
    <w:rsid w:val="00787FA1"/>
    <w:rsid w:val="0079027C"/>
    <w:rsid w:val="007903A5"/>
    <w:rsid w:val="00790F5A"/>
    <w:rsid w:val="007912D2"/>
    <w:rsid w:val="00792EC6"/>
    <w:rsid w:val="00793973"/>
    <w:rsid w:val="00793C93"/>
    <w:rsid w:val="00793EA7"/>
    <w:rsid w:val="007942EB"/>
    <w:rsid w:val="00794EBE"/>
    <w:rsid w:val="007959FF"/>
    <w:rsid w:val="00795F40"/>
    <w:rsid w:val="007966CF"/>
    <w:rsid w:val="007A079D"/>
    <w:rsid w:val="007A2096"/>
    <w:rsid w:val="007A209E"/>
    <w:rsid w:val="007A32DD"/>
    <w:rsid w:val="007A34AE"/>
    <w:rsid w:val="007A430C"/>
    <w:rsid w:val="007A5EA0"/>
    <w:rsid w:val="007A646F"/>
    <w:rsid w:val="007A7779"/>
    <w:rsid w:val="007A79A2"/>
    <w:rsid w:val="007A7BA9"/>
    <w:rsid w:val="007B07C4"/>
    <w:rsid w:val="007B1C1B"/>
    <w:rsid w:val="007B239A"/>
    <w:rsid w:val="007B3592"/>
    <w:rsid w:val="007B4587"/>
    <w:rsid w:val="007B57BE"/>
    <w:rsid w:val="007B5FFB"/>
    <w:rsid w:val="007B64EC"/>
    <w:rsid w:val="007B66C6"/>
    <w:rsid w:val="007B675F"/>
    <w:rsid w:val="007B7874"/>
    <w:rsid w:val="007B7DEB"/>
    <w:rsid w:val="007C01EB"/>
    <w:rsid w:val="007C1227"/>
    <w:rsid w:val="007C1EDA"/>
    <w:rsid w:val="007C54D4"/>
    <w:rsid w:val="007C5668"/>
    <w:rsid w:val="007C56E9"/>
    <w:rsid w:val="007C620D"/>
    <w:rsid w:val="007C64CC"/>
    <w:rsid w:val="007D0366"/>
    <w:rsid w:val="007D0C99"/>
    <w:rsid w:val="007D1BED"/>
    <w:rsid w:val="007D2C54"/>
    <w:rsid w:val="007D4100"/>
    <w:rsid w:val="007D590D"/>
    <w:rsid w:val="007D67D9"/>
    <w:rsid w:val="007D73F6"/>
    <w:rsid w:val="007D7864"/>
    <w:rsid w:val="007E0186"/>
    <w:rsid w:val="007E048D"/>
    <w:rsid w:val="007E09CF"/>
    <w:rsid w:val="007E0A86"/>
    <w:rsid w:val="007E1B21"/>
    <w:rsid w:val="007E1D1D"/>
    <w:rsid w:val="007E21F4"/>
    <w:rsid w:val="007E25F5"/>
    <w:rsid w:val="007E3161"/>
    <w:rsid w:val="007E3EFA"/>
    <w:rsid w:val="007E4696"/>
    <w:rsid w:val="007E46C0"/>
    <w:rsid w:val="007E5C21"/>
    <w:rsid w:val="007E753C"/>
    <w:rsid w:val="007F084A"/>
    <w:rsid w:val="007F0FC4"/>
    <w:rsid w:val="007F1108"/>
    <w:rsid w:val="007F179F"/>
    <w:rsid w:val="007F2F07"/>
    <w:rsid w:val="007F4AD0"/>
    <w:rsid w:val="0080299F"/>
    <w:rsid w:val="00802B2D"/>
    <w:rsid w:val="00802B47"/>
    <w:rsid w:val="00802E86"/>
    <w:rsid w:val="008031A9"/>
    <w:rsid w:val="00803BDF"/>
    <w:rsid w:val="00804AE4"/>
    <w:rsid w:val="00806AB2"/>
    <w:rsid w:val="00807CEB"/>
    <w:rsid w:val="00807EF6"/>
    <w:rsid w:val="008116BB"/>
    <w:rsid w:val="00811AB7"/>
    <w:rsid w:val="0081288E"/>
    <w:rsid w:val="00812E92"/>
    <w:rsid w:val="008134E9"/>
    <w:rsid w:val="008146B7"/>
    <w:rsid w:val="008150EC"/>
    <w:rsid w:val="00816933"/>
    <w:rsid w:val="00816F91"/>
    <w:rsid w:val="008214C4"/>
    <w:rsid w:val="00821A46"/>
    <w:rsid w:val="008229BA"/>
    <w:rsid w:val="00822C82"/>
    <w:rsid w:val="0082609E"/>
    <w:rsid w:val="008261BB"/>
    <w:rsid w:val="008267DB"/>
    <w:rsid w:val="008275F0"/>
    <w:rsid w:val="008276D8"/>
    <w:rsid w:val="00830BE7"/>
    <w:rsid w:val="00830C8C"/>
    <w:rsid w:val="00831CD8"/>
    <w:rsid w:val="00831E48"/>
    <w:rsid w:val="008321BA"/>
    <w:rsid w:val="00832855"/>
    <w:rsid w:val="00832C3A"/>
    <w:rsid w:val="00832C40"/>
    <w:rsid w:val="00833246"/>
    <w:rsid w:val="00833264"/>
    <w:rsid w:val="0083374B"/>
    <w:rsid w:val="008348B4"/>
    <w:rsid w:val="0083537A"/>
    <w:rsid w:val="008357D6"/>
    <w:rsid w:val="008361F3"/>
    <w:rsid w:val="008363BA"/>
    <w:rsid w:val="0083662A"/>
    <w:rsid w:val="00836818"/>
    <w:rsid w:val="00841264"/>
    <w:rsid w:val="008419F1"/>
    <w:rsid w:val="00841E43"/>
    <w:rsid w:val="00844677"/>
    <w:rsid w:val="00844ACA"/>
    <w:rsid w:val="008458A1"/>
    <w:rsid w:val="00846711"/>
    <w:rsid w:val="00846741"/>
    <w:rsid w:val="00850E8E"/>
    <w:rsid w:val="00850EBA"/>
    <w:rsid w:val="00851149"/>
    <w:rsid w:val="00852528"/>
    <w:rsid w:val="008525EF"/>
    <w:rsid w:val="00853188"/>
    <w:rsid w:val="00854173"/>
    <w:rsid w:val="00854F20"/>
    <w:rsid w:val="008554EA"/>
    <w:rsid w:val="008555F0"/>
    <w:rsid w:val="008577EF"/>
    <w:rsid w:val="00860682"/>
    <w:rsid w:val="008614EE"/>
    <w:rsid w:val="0086169A"/>
    <w:rsid w:val="00861BFA"/>
    <w:rsid w:val="00862190"/>
    <w:rsid w:val="00863455"/>
    <w:rsid w:val="00863C4E"/>
    <w:rsid w:val="0086440D"/>
    <w:rsid w:val="0086489D"/>
    <w:rsid w:val="0086592D"/>
    <w:rsid w:val="00867438"/>
    <w:rsid w:val="00867FD2"/>
    <w:rsid w:val="008701C6"/>
    <w:rsid w:val="00870A92"/>
    <w:rsid w:val="0087118C"/>
    <w:rsid w:val="00871B21"/>
    <w:rsid w:val="0087289C"/>
    <w:rsid w:val="0087348B"/>
    <w:rsid w:val="00873C17"/>
    <w:rsid w:val="008743EC"/>
    <w:rsid w:val="00877A32"/>
    <w:rsid w:val="008800CA"/>
    <w:rsid w:val="00880118"/>
    <w:rsid w:val="0088021D"/>
    <w:rsid w:val="008811F8"/>
    <w:rsid w:val="00881EA1"/>
    <w:rsid w:val="008822B6"/>
    <w:rsid w:val="008823CF"/>
    <w:rsid w:val="00883394"/>
    <w:rsid w:val="00883BA0"/>
    <w:rsid w:val="00884B7B"/>
    <w:rsid w:val="008855EF"/>
    <w:rsid w:val="0088696A"/>
    <w:rsid w:val="00886A44"/>
    <w:rsid w:val="00890451"/>
    <w:rsid w:val="0089173A"/>
    <w:rsid w:val="00892627"/>
    <w:rsid w:val="00892EB2"/>
    <w:rsid w:val="00894706"/>
    <w:rsid w:val="00894F9E"/>
    <w:rsid w:val="00896581"/>
    <w:rsid w:val="0089672B"/>
    <w:rsid w:val="008970F9"/>
    <w:rsid w:val="0089710F"/>
    <w:rsid w:val="008A0FAC"/>
    <w:rsid w:val="008A1F08"/>
    <w:rsid w:val="008A24B6"/>
    <w:rsid w:val="008A24E2"/>
    <w:rsid w:val="008A35D6"/>
    <w:rsid w:val="008A3771"/>
    <w:rsid w:val="008A3902"/>
    <w:rsid w:val="008A3B7C"/>
    <w:rsid w:val="008A419F"/>
    <w:rsid w:val="008A4536"/>
    <w:rsid w:val="008A4A7F"/>
    <w:rsid w:val="008A4D67"/>
    <w:rsid w:val="008A4DA5"/>
    <w:rsid w:val="008A5751"/>
    <w:rsid w:val="008A6918"/>
    <w:rsid w:val="008B010A"/>
    <w:rsid w:val="008B0833"/>
    <w:rsid w:val="008B1F03"/>
    <w:rsid w:val="008B2268"/>
    <w:rsid w:val="008B297D"/>
    <w:rsid w:val="008B3BAE"/>
    <w:rsid w:val="008B5AED"/>
    <w:rsid w:val="008B6D1A"/>
    <w:rsid w:val="008B7BB4"/>
    <w:rsid w:val="008C171B"/>
    <w:rsid w:val="008C1D78"/>
    <w:rsid w:val="008C2608"/>
    <w:rsid w:val="008C3AF3"/>
    <w:rsid w:val="008C3EF9"/>
    <w:rsid w:val="008C461D"/>
    <w:rsid w:val="008C4F24"/>
    <w:rsid w:val="008C5C18"/>
    <w:rsid w:val="008C61CB"/>
    <w:rsid w:val="008D0519"/>
    <w:rsid w:val="008D1240"/>
    <w:rsid w:val="008D18BF"/>
    <w:rsid w:val="008D1B7C"/>
    <w:rsid w:val="008D2CF4"/>
    <w:rsid w:val="008D4068"/>
    <w:rsid w:val="008D4DC6"/>
    <w:rsid w:val="008D61E3"/>
    <w:rsid w:val="008D627F"/>
    <w:rsid w:val="008D6715"/>
    <w:rsid w:val="008D787E"/>
    <w:rsid w:val="008D78CF"/>
    <w:rsid w:val="008E0127"/>
    <w:rsid w:val="008E0572"/>
    <w:rsid w:val="008E3208"/>
    <w:rsid w:val="008E3CF5"/>
    <w:rsid w:val="008E4221"/>
    <w:rsid w:val="008E5D1F"/>
    <w:rsid w:val="008E757D"/>
    <w:rsid w:val="008E7965"/>
    <w:rsid w:val="008F12F3"/>
    <w:rsid w:val="008F23A8"/>
    <w:rsid w:val="008F41D2"/>
    <w:rsid w:val="008F5026"/>
    <w:rsid w:val="008F5FF7"/>
    <w:rsid w:val="008F6EE3"/>
    <w:rsid w:val="008F7018"/>
    <w:rsid w:val="00900EB4"/>
    <w:rsid w:val="00901C40"/>
    <w:rsid w:val="009034BF"/>
    <w:rsid w:val="00904016"/>
    <w:rsid w:val="00904843"/>
    <w:rsid w:val="0090557C"/>
    <w:rsid w:val="009057E2"/>
    <w:rsid w:val="0090611C"/>
    <w:rsid w:val="00907005"/>
    <w:rsid w:val="009073D2"/>
    <w:rsid w:val="0091099F"/>
    <w:rsid w:val="00910A84"/>
    <w:rsid w:val="00910A98"/>
    <w:rsid w:val="009112D8"/>
    <w:rsid w:val="00912096"/>
    <w:rsid w:val="00913545"/>
    <w:rsid w:val="00913FDF"/>
    <w:rsid w:val="00915675"/>
    <w:rsid w:val="00915D90"/>
    <w:rsid w:val="00916D52"/>
    <w:rsid w:val="0092022A"/>
    <w:rsid w:val="0092067A"/>
    <w:rsid w:val="00922434"/>
    <w:rsid w:val="0092275E"/>
    <w:rsid w:val="00922929"/>
    <w:rsid w:val="00927225"/>
    <w:rsid w:val="009300A6"/>
    <w:rsid w:val="00930841"/>
    <w:rsid w:val="00931211"/>
    <w:rsid w:val="00931D6A"/>
    <w:rsid w:val="0093303F"/>
    <w:rsid w:val="009341D1"/>
    <w:rsid w:val="00934A2F"/>
    <w:rsid w:val="00937E69"/>
    <w:rsid w:val="009401B2"/>
    <w:rsid w:val="00941D9F"/>
    <w:rsid w:val="009452BE"/>
    <w:rsid w:val="0094539D"/>
    <w:rsid w:val="0095037E"/>
    <w:rsid w:val="009516D5"/>
    <w:rsid w:val="00951828"/>
    <w:rsid w:val="0095262A"/>
    <w:rsid w:val="00953E75"/>
    <w:rsid w:val="00954F14"/>
    <w:rsid w:val="00954F5E"/>
    <w:rsid w:val="00955680"/>
    <w:rsid w:val="0095603A"/>
    <w:rsid w:val="009560D8"/>
    <w:rsid w:val="00957EC9"/>
    <w:rsid w:val="00962744"/>
    <w:rsid w:val="00962AD5"/>
    <w:rsid w:val="009631ED"/>
    <w:rsid w:val="00964425"/>
    <w:rsid w:val="0096478F"/>
    <w:rsid w:val="00965252"/>
    <w:rsid w:val="0096556B"/>
    <w:rsid w:val="009657F3"/>
    <w:rsid w:val="00966124"/>
    <w:rsid w:val="0096795C"/>
    <w:rsid w:val="009708AD"/>
    <w:rsid w:val="00972621"/>
    <w:rsid w:val="009741E1"/>
    <w:rsid w:val="009744FA"/>
    <w:rsid w:val="0097507F"/>
    <w:rsid w:val="00975201"/>
    <w:rsid w:val="009756E0"/>
    <w:rsid w:val="00975C44"/>
    <w:rsid w:val="00975DDE"/>
    <w:rsid w:val="00976AE6"/>
    <w:rsid w:val="00977DA9"/>
    <w:rsid w:val="00980D88"/>
    <w:rsid w:val="00981801"/>
    <w:rsid w:val="00981B85"/>
    <w:rsid w:val="009829D6"/>
    <w:rsid w:val="00984AC0"/>
    <w:rsid w:val="00986639"/>
    <w:rsid w:val="009866CA"/>
    <w:rsid w:val="00986DE5"/>
    <w:rsid w:val="009902A4"/>
    <w:rsid w:val="00990543"/>
    <w:rsid w:val="0099203B"/>
    <w:rsid w:val="00992554"/>
    <w:rsid w:val="009926A8"/>
    <w:rsid w:val="009940CB"/>
    <w:rsid w:val="0099530F"/>
    <w:rsid w:val="00995C0F"/>
    <w:rsid w:val="00996BCF"/>
    <w:rsid w:val="00997A4E"/>
    <w:rsid w:val="009A1740"/>
    <w:rsid w:val="009A1A13"/>
    <w:rsid w:val="009A1E16"/>
    <w:rsid w:val="009A1EC5"/>
    <w:rsid w:val="009A6229"/>
    <w:rsid w:val="009A6978"/>
    <w:rsid w:val="009A749F"/>
    <w:rsid w:val="009B088B"/>
    <w:rsid w:val="009B0C92"/>
    <w:rsid w:val="009B0E17"/>
    <w:rsid w:val="009B1992"/>
    <w:rsid w:val="009B2460"/>
    <w:rsid w:val="009B2BEC"/>
    <w:rsid w:val="009B2F35"/>
    <w:rsid w:val="009B35D2"/>
    <w:rsid w:val="009B38B3"/>
    <w:rsid w:val="009B39B2"/>
    <w:rsid w:val="009B5A59"/>
    <w:rsid w:val="009B624F"/>
    <w:rsid w:val="009B6880"/>
    <w:rsid w:val="009B6E28"/>
    <w:rsid w:val="009B7063"/>
    <w:rsid w:val="009C212E"/>
    <w:rsid w:val="009C2C4E"/>
    <w:rsid w:val="009C3295"/>
    <w:rsid w:val="009C479B"/>
    <w:rsid w:val="009C6B36"/>
    <w:rsid w:val="009C7D67"/>
    <w:rsid w:val="009C7E09"/>
    <w:rsid w:val="009D15E1"/>
    <w:rsid w:val="009D26B6"/>
    <w:rsid w:val="009D2BC7"/>
    <w:rsid w:val="009D3CEB"/>
    <w:rsid w:val="009D3F35"/>
    <w:rsid w:val="009D49DB"/>
    <w:rsid w:val="009D5414"/>
    <w:rsid w:val="009D6197"/>
    <w:rsid w:val="009D66EE"/>
    <w:rsid w:val="009D6734"/>
    <w:rsid w:val="009E03D1"/>
    <w:rsid w:val="009E083F"/>
    <w:rsid w:val="009E18CB"/>
    <w:rsid w:val="009E2B99"/>
    <w:rsid w:val="009E2FDA"/>
    <w:rsid w:val="009E5505"/>
    <w:rsid w:val="009E5F01"/>
    <w:rsid w:val="009E6107"/>
    <w:rsid w:val="009E742F"/>
    <w:rsid w:val="009E7954"/>
    <w:rsid w:val="009E7EF6"/>
    <w:rsid w:val="009F0238"/>
    <w:rsid w:val="009F0449"/>
    <w:rsid w:val="009F0482"/>
    <w:rsid w:val="009F1758"/>
    <w:rsid w:val="009F18F6"/>
    <w:rsid w:val="009F26B6"/>
    <w:rsid w:val="009F3418"/>
    <w:rsid w:val="009F6CC0"/>
    <w:rsid w:val="009F6E4C"/>
    <w:rsid w:val="009F76FE"/>
    <w:rsid w:val="00A00814"/>
    <w:rsid w:val="00A00F13"/>
    <w:rsid w:val="00A01081"/>
    <w:rsid w:val="00A013B5"/>
    <w:rsid w:val="00A03A5F"/>
    <w:rsid w:val="00A045DC"/>
    <w:rsid w:val="00A051C1"/>
    <w:rsid w:val="00A10C69"/>
    <w:rsid w:val="00A128A7"/>
    <w:rsid w:val="00A129D9"/>
    <w:rsid w:val="00A14121"/>
    <w:rsid w:val="00A147BB"/>
    <w:rsid w:val="00A14895"/>
    <w:rsid w:val="00A148AD"/>
    <w:rsid w:val="00A15473"/>
    <w:rsid w:val="00A159E2"/>
    <w:rsid w:val="00A16871"/>
    <w:rsid w:val="00A16C57"/>
    <w:rsid w:val="00A21486"/>
    <w:rsid w:val="00A22047"/>
    <w:rsid w:val="00A222FF"/>
    <w:rsid w:val="00A22F18"/>
    <w:rsid w:val="00A23AF0"/>
    <w:rsid w:val="00A2477F"/>
    <w:rsid w:val="00A24C96"/>
    <w:rsid w:val="00A25255"/>
    <w:rsid w:val="00A255C6"/>
    <w:rsid w:val="00A27AD9"/>
    <w:rsid w:val="00A303B6"/>
    <w:rsid w:val="00A3063D"/>
    <w:rsid w:val="00A322BD"/>
    <w:rsid w:val="00A32D8C"/>
    <w:rsid w:val="00A3418C"/>
    <w:rsid w:val="00A35110"/>
    <w:rsid w:val="00A366D1"/>
    <w:rsid w:val="00A36909"/>
    <w:rsid w:val="00A413AA"/>
    <w:rsid w:val="00A438C6"/>
    <w:rsid w:val="00A4419E"/>
    <w:rsid w:val="00A443FF"/>
    <w:rsid w:val="00A447D3"/>
    <w:rsid w:val="00A44BB4"/>
    <w:rsid w:val="00A462A3"/>
    <w:rsid w:val="00A46380"/>
    <w:rsid w:val="00A46E1D"/>
    <w:rsid w:val="00A52972"/>
    <w:rsid w:val="00A53D99"/>
    <w:rsid w:val="00A54119"/>
    <w:rsid w:val="00A5423D"/>
    <w:rsid w:val="00A543A5"/>
    <w:rsid w:val="00A546F0"/>
    <w:rsid w:val="00A54BE4"/>
    <w:rsid w:val="00A55B12"/>
    <w:rsid w:val="00A56034"/>
    <w:rsid w:val="00A60A5E"/>
    <w:rsid w:val="00A63761"/>
    <w:rsid w:val="00A64C25"/>
    <w:rsid w:val="00A653E3"/>
    <w:rsid w:val="00A65ED5"/>
    <w:rsid w:val="00A665A7"/>
    <w:rsid w:val="00A66651"/>
    <w:rsid w:val="00A672C2"/>
    <w:rsid w:val="00A70659"/>
    <w:rsid w:val="00A70A09"/>
    <w:rsid w:val="00A70F86"/>
    <w:rsid w:val="00A7179B"/>
    <w:rsid w:val="00A71A5F"/>
    <w:rsid w:val="00A71E6A"/>
    <w:rsid w:val="00A72850"/>
    <w:rsid w:val="00A7402B"/>
    <w:rsid w:val="00A7452C"/>
    <w:rsid w:val="00A748EC"/>
    <w:rsid w:val="00A75682"/>
    <w:rsid w:val="00A76F0E"/>
    <w:rsid w:val="00A77143"/>
    <w:rsid w:val="00A7764C"/>
    <w:rsid w:val="00A77B25"/>
    <w:rsid w:val="00A801A4"/>
    <w:rsid w:val="00A81BD3"/>
    <w:rsid w:val="00A81D48"/>
    <w:rsid w:val="00A82292"/>
    <w:rsid w:val="00A83080"/>
    <w:rsid w:val="00A835F3"/>
    <w:rsid w:val="00A845FA"/>
    <w:rsid w:val="00A84979"/>
    <w:rsid w:val="00A84B83"/>
    <w:rsid w:val="00A84E83"/>
    <w:rsid w:val="00A85A05"/>
    <w:rsid w:val="00A911F7"/>
    <w:rsid w:val="00A9301F"/>
    <w:rsid w:val="00A933B9"/>
    <w:rsid w:val="00A94C92"/>
    <w:rsid w:val="00A95644"/>
    <w:rsid w:val="00A95835"/>
    <w:rsid w:val="00A972FA"/>
    <w:rsid w:val="00A97612"/>
    <w:rsid w:val="00AA3715"/>
    <w:rsid w:val="00AA45F6"/>
    <w:rsid w:val="00AA61C2"/>
    <w:rsid w:val="00AA627D"/>
    <w:rsid w:val="00AA69BE"/>
    <w:rsid w:val="00AB090A"/>
    <w:rsid w:val="00AB0F8B"/>
    <w:rsid w:val="00AB2F79"/>
    <w:rsid w:val="00AB4CD9"/>
    <w:rsid w:val="00AB4FED"/>
    <w:rsid w:val="00AB51EB"/>
    <w:rsid w:val="00AB54D0"/>
    <w:rsid w:val="00AB5EAA"/>
    <w:rsid w:val="00AB5FAE"/>
    <w:rsid w:val="00AC1586"/>
    <w:rsid w:val="00AC1F0D"/>
    <w:rsid w:val="00AC47C2"/>
    <w:rsid w:val="00AC5143"/>
    <w:rsid w:val="00AC60AE"/>
    <w:rsid w:val="00AC6A60"/>
    <w:rsid w:val="00AC7511"/>
    <w:rsid w:val="00AD093E"/>
    <w:rsid w:val="00AD2598"/>
    <w:rsid w:val="00AD2DB3"/>
    <w:rsid w:val="00AD3299"/>
    <w:rsid w:val="00AD47B6"/>
    <w:rsid w:val="00AD67E8"/>
    <w:rsid w:val="00AE0C14"/>
    <w:rsid w:val="00AE38D4"/>
    <w:rsid w:val="00AE423D"/>
    <w:rsid w:val="00AE54F6"/>
    <w:rsid w:val="00AE6AF6"/>
    <w:rsid w:val="00AE7144"/>
    <w:rsid w:val="00AE7B55"/>
    <w:rsid w:val="00AF0D66"/>
    <w:rsid w:val="00AF10AA"/>
    <w:rsid w:val="00AF137B"/>
    <w:rsid w:val="00AF2269"/>
    <w:rsid w:val="00AF25FE"/>
    <w:rsid w:val="00AF3041"/>
    <w:rsid w:val="00AF31FD"/>
    <w:rsid w:val="00AF35A5"/>
    <w:rsid w:val="00AF47FF"/>
    <w:rsid w:val="00AF5A65"/>
    <w:rsid w:val="00AF5AB7"/>
    <w:rsid w:val="00AF5C06"/>
    <w:rsid w:val="00AF63BB"/>
    <w:rsid w:val="00AF72BE"/>
    <w:rsid w:val="00AF7EE3"/>
    <w:rsid w:val="00B00917"/>
    <w:rsid w:val="00B01E10"/>
    <w:rsid w:val="00B02125"/>
    <w:rsid w:val="00B0357D"/>
    <w:rsid w:val="00B04D6E"/>
    <w:rsid w:val="00B04E1B"/>
    <w:rsid w:val="00B05AFA"/>
    <w:rsid w:val="00B066C6"/>
    <w:rsid w:val="00B07F89"/>
    <w:rsid w:val="00B108C5"/>
    <w:rsid w:val="00B115AE"/>
    <w:rsid w:val="00B11817"/>
    <w:rsid w:val="00B122D4"/>
    <w:rsid w:val="00B12375"/>
    <w:rsid w:val="00B13339"/>
    <w:rsid w:val="00B140A8"/>
    <w:rsid w:val="00B16EF3"/>
    <w:rsid w:val="00B2004C"/>
    <w:rsid w:val="00B20411"/>
    <w:rsid w:val="00B20B6A"/>
    <w:rsid w:val="00B21D78"/>
    <w:rsid w:val="00B22254"/>
    <w:rsid w:val="00B23557"/>
    <w:rsid w:val="00B23BF2"/>
    <w:rsid w:val="00B24141"/>
    <w:rsid w:val="00B2416D"/>
    <w:rsid w:val="00B24CEA"/>
    <w:rsid w:val="00B26539"/>
    <w:rsid w:val="00B2741F"/>
    <w:rsid w:val="00B2779A"/>
    <w:rsid w:val="00B27AAF"/>
    <w:rsid w:val="00B27ABF"/>
    <w:rsid w:val="00B30DA1"/>
    <w:rsid w:val="00B310AE"/>
    <w:rsid w:val="00B311C6"/>
    <w:rsid w:val="00B34A65"/>
    <w:rsid w:val="00B34E56"/>
    <w:rsid w:val="00B36379"/>
    <w:rsid w:val="00B40CB4"/>
    <w:rsid w:val="00B415F3"/>
    <w:rsid w:val="00B4208C"/>
    <w:rsid w:val="00B423C9"/>
    <w:rsid w:val="00B425C6"/>
    <w:rsid w:val="00B437CB"/>
    <w:rsid w:val="00B44107"/>
    <w:rsid w:val="00B441B7"/>
    <w:rsid w:val="00B44267"/>
    <w:rsid w:val="00B44620"/>
    <w:rsid w:val="00B446CB"/>
    <w:rsid w:val="00B44AF0"/>
    <w:rsid w:val="00B45576"/>
    <w:rsid w:val="00B459D1"/>
    <w:rsid w:val="00B47367"/>
    <w:rsid w:val="00B52751"/>
    <w:rsid w:val="00B52912"/>
    <w:rsid w:val="00B53288"/>
    <w:rsid w:val="00B54408"/>
    <w:rsid w:val="00B55883"/>
    <w:rsid w:val="00B55D9D"/>
    <w:rsid w:val="00B56D75"/>
    <w:rsid w:val="00B61A25"/>
    <w:rsid w:val="00B63FEC"/>
    <w:rsid w:val="00B648FE"/>
    <w:rsid w:val="00B64A21"/>
    <w:rsid w:val="00B6506F"/>
    <w:rsid w:val="00B65180"/>
    <w:rsid w:val="00B65AF5"/>
    <w:rsid w:val="00B6686A"/>
    <w:rsid w:val="00B67B9C"/>
    <w:rsid w:val="00B700A9"/>
    <w:rsid w:val="00B72725"/>
    <w:rsid w:val="00B72940"/>
    <w:rsid w:val="00B729B7"/>
    <w:rsid w:val="00B731A1"/>
    <w:rsid w:val="00B75178"/>
    <w:rsid w:val="00B75927"/>
    <w:rsid w:val="00B76606"/>
    <w:rsid w:val="00B76DC1"/>
    <w:rsid w:val="00B800F9"/>
    <w:rsid w:val="00B811D5"/>
    <w:rsid w:val="00B81344"/>
    <w:rsid w:val="00B83875"/>
    <w:rsid w:val="00B86009"/>
    <w:rsid w:val="00B863F2"/>
    <w:rsid w:val="00B86794"/>
    <w:rsid w:val="00B87B5D"/>
    <w:rsid w:val="00B87F8B"/>
    <w:rsid w:val="00B913C4"/>
    <w:rsid w:val="00B92560"/>
    <w:rsid w:val="00B92DEA"/>
    <w:rsid w:val="00B94863"/>
    <w:rsid w:val="00B971C6"/>
    <w:rsid w:val="00B97A5F"/>
    <w:rsid w:val="00BA0293"/>
    <w:rsid w:val="00BA099B"/>
    <w:rsid w:val="00BA0C68"/>
    <w:rsid w:val="00BA1027"/>
    <w:rsid w:val="00BA1109"/>
    <w:rsid w:val="00BA230E"/>
    <w:rsid w:val="00BA2B8F"/>
    <w:rsid w:val="00BA57D8"/>
    <w:rsid w:val="00BA6274"/>
    <w:rsid w:val="00BA66B9"/>
    <w:rsid w:val="00BB0237"/>
    <w:rsid w:val="00BB219B"/>
    <w:rsid w:val="00BB36ED"/>
    <w:rsid w:val="00BB68B5"/>
    <w:rsid w:val="00BB78D8"/>
    <w:rsid w:val="00BB7944"/>
    <w:rsid w:val="00BB7C3A"/>
    <w:rsid w:val="00BC034A"/>
    <w:rsid w:val="00BC0514"/>
    <w:rsid w:val="00BC11B5"/>
    <w:rsid w:val="00BC1541"/>
    <w:rsid w:val="00BC16F6"/>
    <w:rsid w:val="00BC1C84"/>
    <w:rsid w:val="00BC208E"/>
    <w:rsid w:val="00BC2301"/>
    <w:rsid w:val="00BC43B9"/>
    <w:rsid w:val="00BC48C0"/>
    <w:rsid w:val="00BC7B1F"/>
    <w:rsid w:val="00BD000B"/>
    <w:rsid w:val="00BD0C58"/>
    <w:rsid w:val="00BD11CB"/>
    <w:rsid w:val="00BD1AB7"/>
    <w:rsid w:val="00BD2955"/>
    <w:rsid w:val="00BD2B75"/>
    <w:rsid w:val="00BD322D"/>
    <w:rsid w:val="00BD3C79"/>
    <w:rsid w:val="00BD3E09"/>
    <w:rsid w:val="00BD4294"/>
    <w:rsid w:val="00BD499C"/>
    <w:rsid w:val="00BD4FE5"/>
    <w:rsid w:val="00BD52CF"/>
    <w:rsid w:val="00BD683F"/>
    <w:rsid w:val="00BD795F"/>
    <w:rsid w:val="00BD7EA7"/>
    <w:rsid w:val="00BE0AFA"/>
    <w:rsid w:val="00BE10C6"/>
    <w:rsid w:val="00BE1F2B"/>
    <w:rsid w:val="00BE2741"/>
    <w:rsid w:val="00BE2C9A"/>
    <w:rsid w:val="00BE39A1"/>
    <w:rsid w:val="00BE49A6"/>
    <w:rsid w:val="00BE4CF0"/>
    <w:rsid w:val="00BE613C"/>
    <w:rsid w:val="00BE7172"/>
    <w:rsid w:val="00BE778B"/>
    <w:rsid w:val="00BF011B"/>
    <w:rsid w:val="00BF1CFC"/>
    <w:rsid w:val="00BF1FE6"/>
    <w:rsid w:val="00BF3434"/>
    <w:rsid w:val="00BF3C44"/>
    <w:rsid w:val="00BF3C8F"/>
    <w:rsid w:val="00BF5596"/>
    <w:rsid w:val="00BF5F21"/>
    <w:rsid w:val="00BF72F5"/>
    <w:rsid w:val="00BF751B"/>
    <w:rsid w:val="00BF7689"/>
    <w:rsid w:val="00C00E8F"/>
    <w:rsid w:val="00C02439"/>
    <w:rsid w:val="00C02647"/>
    <w:rsid w:val="00C02EC9"/>
    <w:rsid w:val="00C041DA"/>
    <w:rsid w:val="00C04662"/>
    <w:rsid w:val="00C05035"/>
    <w:rsid w:val="00C05DF2"/>
    <w:rsid w:val="00C0681A"/>
    <w:rsid w:val="00C103CF"/>
    <w:rsid w:val="00C11C58"/>
    <w:rsid w:val="00C12A81"/>
    <w:rsid w:val="00C12F45"/>
    <w:rsid w:val="00C1428B"/>
    <w:rsid w:val="00C175CC"/>
    <w:rsid w:val="00C17C51"/>
    <w:rsid w:val="00C20E83"/>
    <w:rsid w:val="00C222CE"/>
    <w:rsid w:val="00C23855"/>
    <w:rsid w:val="00C25AA0"/>
    <w:rsid w:val="00C25C4C"/>
    <w:rsid w:val="00C25E5F"/>
    <w:rsid w:val="00C271A7"/>
    <w:rsid w:val="00C27293"/>
    <w:rsid w:val="00C276FA"/>
    <w:rsid w:val="00C27701"/>
    <w:rsid w:val="00C3098D"/>
    <w:rsid w:val="00C30ED7"/>
    <w:rsid w:val="00C32604"/>
    <w:rsid w:val="00C3267D"/>
    <w:rsid w:val="00C32D9E"/>
    <w:rsid w:val="00C33A75"/>
    <w:rsid w:val="00C34847"/>
    <w:rsid w:val="00C350C6"/>
    <w:rsid w:val="00C36521"/>
    <w:rsid w:val="00C37A70"/>
    <w:rsid w:val="00C40007"/>
    <w:rsid w:val="00C407B8"/>
    <w:rsid w:val="00C409EF"/>
    <w:rsid w:val="00C41573"/>
    <w:rsid w:val="00C41B0E"/>
    <w:rsid w:val="00C4203F"/>
    <w:rsid w:val="00C4238B"/>
    <w:rsid w:val="00C42799"/>
    <w:rsid w:val="00C42A04"/>
    <w:rsid w:val="00C4437C"/>
    <w:rsid w:val="00C44EA9"/>
    <w:rsid w:val="00C450D1"/>
    <w:rsid w:val="00C460B3"/>
    <w:rsid w:val="00C465D1"/>
    <w:rsid w:val="00C466B7"/>
    <w:rsid w:val="00C475F4"/>
    <w:rsid w:val="00C509A0"/>
    <w:rsid w:val="00C50B00"/>
    <w:rsid w:val="00C50D5B"/>
    <w:rsid w:val="00C51513"/>
    <w:rsid w:val="00C51753"/>
    <w:rsid w:val="00C52E4A"/>
    <w:rsid w:val="00C53C86"/>
    <w:rsid w:val="00C54E0D"/>
    <w:rsid w:val="00C54F77"/>
    <w:rsid w:val="00C55A12"/>
    <w:rsid w:val="00C55BE1"/>
    <w:rsid w:val="00C560B0"/>
    <w:rsid w:val="00C5655B"/>
    <w:rsid w:val="00C5696F"/>
    <w:rsid w:val="00C57B9B"/>
    <w:rsid w:val="00C60EEF"/>
    <w:rsid w:val="00C62422"/>
    <w:rsid w:val="00C65C4B"/>
    <w:rsid w:val="00C66DAD"/>
    <w:rsid w:val="00C674CD"/>
    <w:rsid w:val="00C7049D"/>
    <w:rsid w:val="00C717FA"/>
    <w:rsid w:val="00C723B0"/>
    <w:rsid w:val="00C72C2C"/>
    <w:rsid w:val="00C73144"/>
    <w:rsid w:val="00C73C5C"/>
    <w:rsid w:val="00C80338"/>
    <w:rsid w:val="00C81C0C"/>
    <w:rsid w:val="00C82F20"/>
    <w:rsid w:val="00C83556"/>
    <w:rsid w:val="00C85B40"/>
    <w:rsid w:val="00C9020F"/>
    <w:rsid w:val="00C9039C"/>
    <w:rsid w:val="00C92DF8"/>
    <w:rsid w:val="00C93C71"/>
    <w:rsid w:val="00C94B17"/>
    <w:rsid w:val="00C9624A"/>
    <w:rsid w:val="00C96BC6"/>
    <w:rsid w:val="00C96DD8"/>
    <w:rsid w:val="00C97380"/>
    <w:rsid w:val="00CA0AF8"/>
    <w:rsid w:val="00CA19F0"/>
    <w:rsid w:val="00CA1DCB"/>
    <w:rsid w:val="00CA2D60"/>
    <w:rsid w:val="00CA3BD0"/>
    <w:rsid w:val="00CA58A7"/>
    <w:rsid w:val="00CA5A2D"/>
    <w:rsid w:val="00CA7193"/>
    <w:rsid w:val="00CB141D"/>
    <w:rsid w:val="00CB1435"/>
    <w:rsid w:val="00CB1F11"/>
    <w:rsid w:val="00CB2A43"/>
    <w:rsid w:val="00CB326F"/>
    <w:rsid w:val="00CB3683"/>
    <w:rsid w:val="00CB3ABC"/>
    <w:rsid w:val="00CB75C6"/>
    <w:rsid w:val="00CB7828"/>
    <w:rsid w:val="00CB7CD7"/>
    <w:rsid w:val="00CB7EC5"/>
    <w:rsid w:val="00CC00B5"/>
    <w:rsid w:val="00CC263B"/>
    <w:rsid w:val="00CC2CB7"/>
    <w:rsid w:val="00CC3247"/>
    <w:rsid w:val="00CC38FA"/>
    <w:rsid w:val="00CC5FD2"/>
    <w:rsid w:val="00CC6517"/>
    <w:rsid w:val="00CC6AD0"/>
    <w:rsid w:val="00CC7292"/>
    <w:rsid w:val="00CC7ADF"/>
    <w:rsid w:val="00CD1996"/>
    <w:rsid w:val="00CD2447"/>
    <w:rsid w:val="00CD312A"/>
    <w:rsid w:val="00CD77FD"/>
    <w:rsid w:val="00CD7F61"/>
    <w:rsid w:val="00CE0E7A"/>
    <w:rsid w:val="00CE0EBF"/>
    <w:rsid w:val="00CE1EA8"/>
    <w:rsid w:val="00CE3A00"/>
    <w:rsid w:val="00CE5179"/>
    <w:rsid w:val="00CE64CE"/>
    <w:rsid w:val="00CE6ADD"/>
    <w:rsid w:val="00CE7A4C"/>
    <w:rsid w:val="00CF0345"/>
    <w:rsid w:val="00CF0DCD"/>
    <w:rsid w:val="00CF152E"/>
    <w:rsid w:val="00CF1D42"/>
    <w:rsid w:val="00CF461C"/>
    <w:rsid w:val="00CF51D4"/>
    <w:rsid w:val="00CF545E"/>
    <w:rsid w:val="00CF57A3"/>
    <w:rsid w:val="00CF74F5"/>
    <w:rsid w:val="00CF7791"/>
    <w:rsid w:val="00D00726"/>
    <w:rsid w:val="00D019FE"/>
    <w:rsid w:val="00D0296E"/>
    <w:rsid w:val="00D032D9"/>
    <w:rsid w:val="00D042C3"/>
    <w:rsid w:val="00D04995"/>
    <w:rsid w:val="00D04CC5"/>
    <w:rsid w:val="00D056B2"/>
    <w:rsid w:val="00D072D3"/>
    <w:rsid w:val="00D074C0"/>
    <w:rsid w:val="00D075D9"/>
    <w:rsid w:val="00D115F8"/>
    <w:rsid w:val="00D11AF4"/>
    <w:rsid w:val="00D12127"/>
    <w:rsid w:val="00D131D1"/>
    <w:rsid w:val="00D13B4E"/>
    <w:rsid w:val="00D15480"/>
    <w:rsid w:val="00D16427"/>
    <w:rsid w:val="00D1730D"/>
    <w:rsid w:val="00D2360E"/>
    <w:rsid w:val="00D24036"/>
    <w:rsid w:val="00D24497"/>
    <w:rsid w:val="00D24D7C"/>
    <w:rsid w:val="00D256AF"/>
    <w:rsid w:val="00D25D02"/>
    <w:rsid w:val="00D26BBD"/>
    <w:rsid w:val="00D31147"/>
    <w:rsid w:val="00D316ED"/>
    <w:rsid w:val="00D31AB1"/>
    <w:rsid w:val="00D327DB"/>
    <w:rsid w:val="00D32817"/>
    <w:rsid w:val="00D32DAC"/>
    <w:rsid w:val="00D33221"/>
    <w:rsid w:val="00D349EC"/>
    <w:rsid w:val="00D357C4"/>
    <w:rsid w:val="00D40261"/>
    <w:rsid w:val="00D41AB7"/>
    <w:rsid w:val="00D43CBA"/>
    <w:rsid w:val="00D44348"/>
    <w:rsid w:val="00D443A3"/>
    <w:rsid w:val="00D44598"/>
    <w:rsid w:val="00D46064"/>
    <w:rsid w:val="00D467FF"/>
    <w:rsid w:val="00D50334"/>
    <w:rsid w:val="00D506B3"/>
    <w:rsid w:val="00D5100B"/>
    <w:rsid w:val="00D518B2"/>
    <w:rsid w:val="00D51FCA"/>
    <w:rsid w:val="00D528C0"/>
    <w:rsid w:val="00D53B5C"/>
    <w:rsid w:val="00D55755"/>
    <w:rsid w:val="00D56169"/>
    <w:rsid w:val="00D563A9"/>
    <w:rsid w:val="00D5655C"/>
    <w:rsid w:val="00D60B84"/>
    <w:rsid w:val="00D622D0"/>
    <w:rsid w:val="00D623BC"/>
    <w:rsid w:val="00D6260E"/>
    <w:rsid w:val="00D63481"/>
    <w:rsid w:val="00D64C67"/>
    <w:rsid w:val="00D64FFB"/>
    <w:rsid w:val="00D658F2"/>
    <w:rsid w:val="00D665D7"/>
    <w:rsid w:val="00D710B8"/>
    <w:rsid w:val="00D712E9"/>
    <w:rsid w:val="00D72327"/>
    <w:rsid w:val="00D72B03"/>
    <w:rsid w:val="00D73CF1"/>
    <w:rsid w:val="00D7423A"/>
    <w:rsid w:val="00D74275"/>
    <w:rsid w:val="00D76073"/>
    <w:rsid w:val="00D8277B"/>
    <w:rsid w:val="00D82B2C"/>
    <w:rsid w:val="00D84884"/>
    <w:rsid w:val="00D859E3"/>
    <w:rsid w:val="00D87293"/>
    <w:rsid w:val="00D9035D"/>
    <w:rsid w:val="00D9079F"/>
    <w:rsid w:val="00D90A2B"/>
    <w:rsid w:val="00D913B0"/>
    <w:rsid w:val="00D91586"/>
    <w:rsid w:val="00D91591"/>
    <w:rsid w:val="00D94036"/>
    <w:rsid w:val="00D94145"/>
    <w:rsid w:val="00D95A92"/>
    <w:rsid w:val="00D96147"/>
    <w:rsid w:val="00D97359"/>
    <w:rsid w:val="00D97509"/>
    <w:rsid w:val="00DA0B91"/>
    <w:rsid w:val="00DA0FE7"/>
    <w:rsid w:val="00DA16BC"/>
    <w:rsid w:val="00DA1AD3"/>
    <w:rsid w:val="00DA1ED0"/>
    <w:rsid w:val="00DA20F4"/>
    <w:rsid w:val="00DA22F2"/>
    <w:rsid w:val="00DA2AC9"/>
    <w:rsid w:val="00DA347E"/>
    <w:rsid w:val="00DA54C5"/>
    <w:rsid w:val="00DA7237"/>
    <w:rsid w:val="00DB1554"/>
    <w:rsid w:val="00DB1CEA"/>
    <w:rsid w:val="00DB1D18"/>
    <w:rsid w:val="00DB2AE3"/>
    <w:rsid w:val="00DB3005"/>
    <w:rsid w:val="00DB4D4C"/>
    <w:rsid w:val="00DB4D5D"/>
    <w:rsid w:val="00DB50E1"/>
    <w:rsid w:val="00DB521B"/>
    <w:rsid w:val="00DB5700"/>
    <w:rsid w:val="00DB6308"/>
    <w:rsid w:val="00DB6598"/>
    <w:rsid w:val="00DB6650"/>
    <w:rsid w:val="00DB6C9E"/>
    <w:rsid w:val="00DC003F"/>
    <w:rsid w:val="00DC04F5"/>
    <w:rsid w:val="00DC09B5"/>
    <w:rsid w:val="00DC292B"/>
    <w:rsid w:val="00DC2FED"/>
    <w:rsid w:val="00DC3092"/>
    <w:rsid w:val="00DC334C"/>
    <w:rsid w:val="00DC382E"/>
    <w:rsid w:val="00DC3BDD"/>
    <w:rsid w:val="00DC40C8"/>
    <w:rsid w:val="00DC47B9"/>
    <w:rsid w:val="00DC4C92"/>
    <w:rsid w:val="00DC64A5"/>
    <w:rsid w:val="00DD07EB"/>
    <w:rsid w:val="00DD14D3"/>
    <w:rsid w:val="00DD29F8"/>
    <w:rsid w:val="00DD36DF"/>
    <w:rsid w:val="00DD3BB8"/>
    <w:rsid w:val="00DD3CC2"/>
    <w:rsid w:val="00DD6C05"/>
    <w:rsid w:val="00DE0182"/>
    <w:rsid w:val="00DE0B7C"/>
    <w:rsid w:val="00DE107E"/>
    <w:rsid w:val="00DE2814"/>
    <w:rsid w:val="00DE38D9"/>
    <w:rsid w:val="00DE4247"/>
    <w:rsid w:val="00DE7357"/>
    <w:rsid w:val="00DE74A4"/>
    <w:rsid w:val="00DF077F"/>
    <w:rsid w:val="00DF1375"/>
    <w:rsid w:val="00DF1C46"/>
    <w:rsid w:val="00DF2E5C"/>
    <w:rsid w:val="00DF2F47"/>
    <w:rsid w:val="00DF3538"/>
    <w:rsid w:val="00DF5A47"/>
    <w:rsid w:val="00DF6C7A"/>
    <w:rsid w:val="00DF7832"/>
    <w:rsid w:val="00E00A5F"/>
    <w:rsid w:val="00E010BD"/>
    <w:rsid w:val="00E03EC8"/>
    <w:rsid w:val="00E0440D"/>
    <w:rsid w:val="00E04E4C"/>
    <w:rsid w:val="00E05703"/>
    <w:rsid w:val="00E05A34"/>
    <w:rsid w:val="00E07464"/>
    <w:rsid w:val="00E101E2"/>
    <w:rsid w:val="00E107DD"/>
    <w:rsid w:val="00E1139E"/>
    <w:rsid w:val="00E12FDE"/>
    <w:rsid w:val="00E13FC3"/>
    <w:rsid w:val="00E14BDB"/>
    <w:rsid w:val="00E200B8"/>
    <w:rsid w:val="00E20BBA"/>
    <w:rsid w:val="00E210AE"/>
    <w:rsid w:val="00E217FA"/>
    <w:rsid w:val="00E2343C"/>
    <w:rsid w:val="00E2343E"/>
    <w:rsid w:val="00E25BF8"/>
    <w:rsid w:val="00E263B6"/>
    <w:rsid w:val="00E3116F"/>
    <w:rsid w:val="00E31BB7"/>
    <w:rsid w:val="00E3272D"/>
    <w:rsid w:val="00E32E30"/>
    <w:rsid w:val="00E350A2"/>
    <w:rsid w:val="00E353E1"/>
    <w:rsid w:val="00E37E86"/>
    <w:rsid w:val="00E40768"/>
    <w:rsid w:val="00E418B6"/>
    <w:rsid w:val="00E46136"/>
    <w:rsid w:val="00E46C3D"/>
    <w:rsid w:val="00E47B41"/>
    <w:rsid w:val="00E50893"/>
    <w:rsid w:val="00E51A06"/>
    <w:rsid w:val="00E51D44"/>
    <w:rsid w:val="00E52572"/>
    <w:rsid w:val="00E53F67"/>
    <w:rsid w:val="00E54896"/>
    <w:rsid w:val="00E558B4"/>
    <w:rsid w:val="00E55BCC"/>
    <w:rsid w:val="00E56552"/>
    <w:rsid w:val="00E61C7F"/>
    <w:rsid w:val="00E62672"/>
    <w:rsid w:val="00E639B4"/>
    <w:rsid w:val="00E63B4B"/>
    <w:rsid w:val="00E64233"/>
    <w:rsid w:val="00E655CE"/>
    <w:rsid w:val="00E65B82"/>
    <w:rsid w:val="00E673E9"/>
    <w:rsid w:val="00E67B5F"/>
    <w:rsid w:val="00E70D3E"/>
    <w:rsid w:val="00E71F7A"/>
    <w:rsid w:val="00E742E0"/>
    <w:rsid w:val="00E74823"/>
    <w:rsid w:val="00E7498E"/>
    <w:rsid w:val="00E755CE"/>
    <w:rsid w:val="00E76659"/>
    <w:rsid w:val="00E76CA0"/>
    <w:rsid w:val="00E77097"/>
    <w:rsid w:val="00E77F03"/>
    <w:rsid w:val="00E82C6E"/>
    <w:rsid w:val="00E83078"/>
    <w:rsid w:val="00E830A9"/>
    <w:rsid w:val="00E835B4"/>
    <w:rsid w:val="00E85AAA"/>
    <w:rsid w:val="00E86399"/>
    <w:rsid w:val="00E864D2"/>
    <w:rsid w:val="00E9028F"/>
    <w:rsid w:val="00E90381"/>
    <w:rsid w:val="00E907AE"/>
    <w:rsid w:val="00E91EC4"/>
    <w:rsid w:val="00E92591"/>
    <w:rsid w:val="00E92AE2"/>
    <w:rsid w:val="00E936F2"/>
    <w:rsid w:val="00E94957"/>
    <w:rsid w:val="00E94C2B"/>
    <w:rsid w:val="00E95D83"/>
    <w:rsid w:val="00E97818"/>
    <w:rsid w:val="00EA0012"/>
    <w:rsid w:val="00EA29BF"/>
    <w:rsid w:val="00EA4358"/>
    <w:rsid w:val="00EA5C5F"/>
    <w:rsid w:val="00EB0AA0"/>
    <w:rsid w:val="00EB28A8"/>
    <w:rsid w:val="00EB2B42"/>
    <w:rsid w:val="00EB3A29"/>
    <w:rsid w:val="00EB3A58"/>
    <w:rsid w:val="00EB4D4C"/>
    <w:rsid w:val="00EB7825"/>
    <w:rsid w:val="00EC2F63"/>
    <w:rsid w:val="00EC30E7"/>
    <w:rsid w:val="00EC3491"/>
    <w:rsid w:val="00EC39D7"/>
    <w:rsid w:val="00EC6793"/>
    <w:rsid w:val="00EC6D07"/>
    <w:rsid w:val="00EC7671"/>
    <w:rsid w:val="00ED023F"/>
    <w:rsid w:val="00ED0A11"/>
    <w:rsid w:val="00ED23CC"/>
    <w:rsid w:val="00ED2F28"/>
    <w:rsid w:val="00EE0C5F"/>
    <w:rsid w:val="00EE1CD1"/>
    <w:rsid w:val="00EE22B5"/>
    <w:rsid w:val="00EE2B45"/>
    <w:rsid w:val="00EE30CF"/>
    <w:rsid w:val="00EE3DE2"/>
    <w:rsid w:val="00EE4F46"/>
    <w:rsid w:val="00EE6DB0"/>
    <w:rsid w:val="00EE7063"/>
    <w:rsid w:val="00EE74FA"/>
    <w:rsid w:val="00EF169D"/>
    <w:rsid w:val="00EF3062"/>
    <w:rsid w:val="00EF5A3C"/>
    <w:rsid w:val="00EF6139"/>
    <w:rsid w:val="00EF62A1"/>
    <w:rsid w:val="00EF6467"/>
    <w:rsid w:val="00EF661C"/>
    <w:rsid w:val="00EF6CC3"/>
    <w:rsid w:val="00EF784A"/>
    <w:rsid w:val="00F0020E"/>
    <w:rsid w:val="00F02099"/>
    <w:rsid w:val="00F02127"/>
    <w:rsid w:val="00F02508"/>
    <w:rsid w:val="00F025E7"/>
    <w:rsid w:val="00F03134"/>
    <w:rsid w:val="00F059EF"/>
    <w:rsid w:val="00F06A3E"/>
    <w:rsid w:val="00F06BBE"/>
    <w:rsid w:val="00F06D89"/>
    <w:rsid w:val="00F07E81"/>
    <w:rsid w:val="00F11088"/>
    <w:rsid w:val="00F11DB8"/>
    <w:rsid w:val="00F12045"/>
    <w:rsid w:val="00F121D8"/>
    <w:rsid w:val="00F1304B"/>
    <w:rsid w:val="00F20DDD"/>
    <w:rsid w:val="00F22078"/>
    <w:rsid w:val="00F22740"/>
    <w:rsid w:val="00F22846"/>
    <w:rsid w:val="00F24335"/>
    <w:rsid w:val="00F24ADC"/>
    <w:rsid w:val="00F26D26"/>
    <w:rsid w:val="00F31D6D"/>
    <w:rsid w:val="00F330DC"/>
    <w:rsid w:val="00F33687"/>
    <w:rsid w:val="00F3465F"/>
    <w:rsid w:val="00F35487"/>
    <w:rsid w:val="00F370BA"/>
    <w:rsid w:val="00F37739"/>
    <w:rsid w:val="00F41C4D"/>
    <w:rsid w:val="00F41FA2"/>
    <w:rsid w:val="00F429AE"/>
    <w:rsid w:val="00F42D58"/>
    <w:rsid w:val="00F43A7D"/>
    <w:rsid w:val="00F43D77"/>
    <w:rsid w:val="00F4499C"/>
    <w:rsid w:val="00F44B46"/>
    <w:rsid w:val="00F44DE6"/>
    <w:rsid w:val="00F45ED5"/>
    <w:rsid w:val="00F4695F"/>
    <w:rsid w:val="00F47879"/>
    <w:rsid w:val="00F50FA4"/>
    <w:rsid w:val="00F5286B"/>
    <w:rsid w:val="00F52F04"/>
    <w:rsid w:val="00F6077E"/>
    <w:rsid w:val="00F61D2D"/>
    <w:rsid w:val="00F62109"/>
    <w:rsid w:val="00F63894"/>
    <w:rsid w:val="00F64008"/>
    <w:rsid w:val="00F64AEA"/>
    <w:rsid w:val="00F64F89"/>
    <w:rsid w:val="00F65F3F"/>
    <w:rsid w:val="00F67276"/>
    <w:rsid w:val="00F70907"/>
    <w:rsid w:val="00F70DAD"/>
    <w:rsid w:val="00F710AE"/>
    <w:rsid w:val="00F72B0F"/>
    <w:rsid w:val="00F741D1"/>
    <w:rsid w:val="00F744BA"/>
    <w:rsid w:val="00F752C2"/>
    <w:rsid w:val="00F763B8"/>
    <w:rsid w:val="00F7687B"/>
    <w:rsid w:val="00F77A78"/>
    <w:rsid w:val="00F801B5"/>
    <w:rsid w:val="00F8222E"/>
    <w:rsid w:val="00F82AE9"/>
    <w:rsid w:val="00F82B88"/>
    <w:rsid w:val="00F85DA9"/>
    <w:rsid w:val="00F86040"/>
    <w:rsid w:val="00F86E05"/>
    <w:rsid w:val="00F90325"/>
    <w:rsid w:val="00F93701"/>
    <w:rsid w:val="00F95160"/>
    <w:rsid w:val="00F97BBC"/>
    <w:rsid w:val="00FA0371"/>
    <w:rsid w:val="00FA06EA"/>
    <w:rsid w:val="00FA16D9"/>
    <w:rsid w:val="00FA1935"/>
    <w:rsid w:val="00FA1A8D"/>
    <w:rsid w:val="00FA1F98"/>
    <w:rsid w:val="00FA2956"/>
    <w:rsid w:val="00FA390E"/>
    <w:rsid w:val="00FA3D27"/>
    <w:rsid w:val="00FB0752"/>
    <w:rsid w:val="00FB1617"/>
    <w:rsid w:val="00FB1FE3"/>
    <w:rsid w:val="00FB388C"/>
    <w:rsid w:val="00FB4ADB"/>
    <w:rsid w:val="00FB4FDA"/>
    <w:rsid w:val="00FB7864"/>
    <w:rsid w:val="00FB78B0"/>
    <w:rsid w:val="00FC017D"/>
    <w:rsid w:val="00FC03A5"/>
    <w:rsid w:val="00FC10EC"/>
    <w:rsid w:val="00FC11A1"/>
    <w:rsid w:val="00FC2161"/>
    <w:rsid w:val="00FC2362"/>
    <w:rsid w:val="00FC314A"/>
    <w:rsid w:val="00FC5BF2"/>
    <w:rsid w:val="00FC5C81"/>
    <w:rsid w:val="00FC5F13"/>
    <w:rsid w:val="00FC6435"/>
    <w:rsid w:val="00FC6F78"/>
    <w:rsid w:val="00FC721C"/>
    <w:rsid w:val="00FD0077"/>
    <w:rsid w:val="00FD19BD"/>
    <w:rsid w:val="00FD1D3A"/>
    <w:rsid w:val="00FD4A14"/>
    <w:rsid w:val="00FD4EC8"/>
    <w:rsid w:val="00FD524D"/>
    <w:rsid w:val="00FD53A3"/>
    <w:rsid w:val="00FD5867"/>
    <w:rsid w:val="00FD5F64"/>
    <w:rsid w:val="00FD7B45"/>
    <w:rsid w:val="00FE10F0"/>
    <w:rsid w:val="00FE2B2D"/>
    <w:rsid w:val="00FE4A12"/>
    <w:rsid w:val="00FE4C50"/>
    <w:rsid w:val="00FE5223"/>
    <w:rsid w:val="00FE7FD8"/>
    <w:rsid w:val="00FF039A"/>
    <w:rsid w:val="00FF0AD6"/>
    <w:rsid w:val="00FF1B74"/>
    <w:rsid w:val="00FF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3F21F6F8"/>
  <w15:docId w15:val="{9640E848-813D-4F04-9D8F-4342C8CD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14042" w:themeColor="text1"/>
        <w:sz w:val="22"/>
        <w:szCs w:val="22"/>
        <w:lang w:val="en-AU" w:eastAsia="en-AU" w:bidi="ar-SA"/>
      </w:rPr>
    </w:rPrDefault>
    <w:pPrDefault>
      <w:pPr>
        <w:spacing w:before="100"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0"/>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AB"/>
  </w:style>
  <w:style w:type="paragraph" w:styleId="Heading1">
    <w:name w:val="heading 1"/>
    <w:basedOn w:val="Normal"/>
    <w:next w:val="Normal"/>
    <w:link w:val="Heading1Char"/>
    <w:uiPriority w:val="9"/>
    <w:qFormat/>
    <w:rsid w:val="00C73144"/>
    <w:pPr>
      <w:keepNext/>
      <w:keepLines/>
      <w:spacing w:before="480" w:after="240" w:line="500" w:lineRule="exact"/>
      <w:ind w:right="1984"/>
      <w:contextualSpacing/>
      <w:outlineLvl w:val="0"/>
    </w:pPr>
    <w:rPr>
      <w:rFonts w:asciiTheme="majorHAnsi" w:eastAsiaTheme="majorEastAsia" w:hAnsiTheme="majorHAnsi" w:cs="Times New Roman"/>
      <w:b/>
      <w:bCs/>
      <w:iCs/>
      <w:caps/>
      <w:color w:val="1C3867" w:themeColor="text2"/>
      <w:sz w:val="48"/>
      <w:szCs w:val="48"/>
      <w:lang w:val="en-US" w:bidi="en-US"/>
    </w:rPr>
  </w:style>
  <w:style w:type="paragraph" w:styleId="Heading2">
    <w:name w:val="heading 2"/>
    <w:next w:val="Normal"/>
    <w:link w:val="Heading2Char"/>
    <w:unhideWhenUsed/>
    <w:qFormat/>
    <w:rsid w:val="00BB7C3A"/>
    <w:pPr>
      <w:keepNext/>
      <w:keepLines/>
      <w:spacing w:before="240"/>
      <w:outlineLvl w:val="1"/>
    </w:pPr>
    <w:rPr>
      <w:rFonts w:asciiTheme="majorHAnsi" w:eastAsia="Times New Roman" w:hAnsiTheme="majorHAnsi" w:cs="Times New Roman"/>
      <w:b/>
      <w:bCs/>
      <w:iCs/>
      <w:color w:val="000000"/>
      <w:sz w:val="28"/>
      <w:lang w:val="en-US" w:bidi="en-US"/>
    </w:rPr>
  </w:style>
  <w:style w:type="paragraph" w:styleId="Heading3">
    <w:name w:val="heading 3"/>
    <w:basedOn w:val="Normal"/>
    <w:next w:val="Normal"/>
    <w:link w:val="Heading3Char"/>
    <w:qFormat/>
    <w:rsid w:val="00BB7C3A"/>
    <w:pPr>
      <w:keepNext/>
      <w:keepLines/>
      <w:spacing w:before="200" w:line="240" w:lineRule="auto"/>
      <w:contextualSpacing/>
      <w:outlineLvl w:val="2"/>
    </w:pPr>
    <w:rPr>
      <w:rFonts w:asciiTheme="majorHAnsi" w:eastAsia="Times New Roman" w:hAnsiTheme="majorHAnsi" w:cs="Times New Roman"/>
      <w:b/>
      <w:bCs/>
      <w:iCs/>
      <w:caps/>
      <w:color w:val="1C3867" w:themeColor="text2"/>
      <w:lang w:val="en-US" w:bidi="en-US"/>
    </w:rPr>
  </w:style>
  <w:style w:type="paragraph" w:styleId="Heading4">
    <w:name w:val="heading 4"/>
    <w:basedOn w:val="Normal"/>
    <w:next w:val="Normal"/>
    <w:link w:val="Heading4Char"/>
    <w:unhideWhenUsed/>
    <w:qFormat/>
    <w:rsid w:val="001C5785"/>
    <w:pPr>
      <w:keepNext/>
      <w:keepLines/>
      <w:spacing w:before="200" w:after="240"/>
      <w:outlineLvl w:val="3"/>
    </w:pPr>
    <w:rPr>
      <w:rFonts w:asciiTheme="majorHAnsi" w:eastAsiaTheme="majorEastAsia" w:hAnsiTheme="majorHAnsi" w:cstheme="majorBidi"/>
      <w:b/>
      <w:bCs/>
      <w:i/>
      <w:iCs/>
      <w:lang w:val="en-US"/>
    </w:rPr>
  </w:style>
  <w:style w:type="paragraph" w:styleId="Heading5">
    <w:name w:val="heading 5"/>
    <w:basedOn w:val="Normal"/>
    <w:next w:val="Normal"/>
    <w:link w:val="Heading5Char"/>
    <w:uiPriority w:val="9"/>
    <w:unhideWhenUsed/>
    <w:qFormat/>
    <w:rsid w:val="0096478F"/>
    <w:pPr>
      <w:keepNext/>
      <w:numPr>
        <w:ilvl w:val="1"/>
        <w:numId w:val="1"/>
      </w:numPr>
      <w:spacing w:before="240"/>
      <w:ind w:left="578" w:hanging="578"/>
      <w:outlineLvl w:val="4"/>
    </w:pPr>
    <w:rPr>
      <w:rFonts w:asciiTheme="majorHAnsi" w:eastAsiaTheme="majorEastAsia" w:hAnsiTheme="majorHAnsi" w:cstheme="majorBidi"/>
      <w:b/>
      <w:bCs/>
      <w:caps/>
      <w:color w:val="1C3867" w:themeColor="text2"/>
      <w:szCs w:val="26"/>
    </w:rPr>
  </w:style>
  <w:style w:type="paragraph" w:styleId="Heading6">
    <w:name w:val="heading 6"/>
    <w:basedOn w:val="Normal"/>
    <w:next w:val="Normal"/>
    <w:link w:val="Heading6Char"/>
    <w:uiPriority w:val="9"/>
    <w:unhideWhenUsed/>
    <w:qFormat/>
    <w:rsid w:val="0096478F"/>
    <w:pPr>
      <w:keepNext/>
      <w:numPr>
        <w:ilvl w:val="2"/>
        <w:numId w:val="1"/>
      </w:numPr>
      <w:spacing w:before="240"/>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144"/>
    <w:rPr>
      <w:rFonts w:asciiTheme="majorHAnsi" w:eastAsiaTheme="majorEastAsia" w:hAnsiTheme="majorHAnsi" w:cs="Times New Roman"/>
      <w:b/>
      <w:bCs/>
      <w:iCs/>
      <w:caps/>
      <w:color w:val="1C3867" w:themeColor="text2"/>
      <w:sz w:val="48"/>
      <w:szCs w:val="48"/>
      <w:lang w:val="en-US" w:bidi="en-US"/>
    </w:rPr>
  </w:style>
  <w:style w:type="character" w:customStyle="1" w:styleId="Heading2Char">
    <w:name w:val="Heading 2 Char"/>
    <w:basedOn w:val="DefaultParagraphFont"/>
    <w:link w:val="Heading2"/>
    <w:rsid w:val="00BB7C3A"/>
    <w:rPr>
      <w:rFonts w:asciiTheme="majorHAnsi" w:eastAsia="Times New Roman" w:hAnsiTheme="majorHAnsi" w:cs="Times New Roman"/>
      <w:b/>
      <w:bCs/>
      <w:iCs/>
      <w:color w:val="000000"/>
      <w:sz w:val="28"/>
      <w:lang w:val="en-US" w:bidi="en-US"/>
    </w:rPr>
  </w:style>
  <w:style w:type="character" w:customStyle="1" w:styleId="Heading3Char">
    <w:name w:val="Heading 3 Char"/>
    <w:basedOn w:val="DefaultParagraphFont"/>
    <w:link w:val="Heading3"/>
    <w:rsid w:val="00BB7C3A"/>
    <w:rPr>
      <w:rFonts w:asciiTheme="majorHAnsi" w:eastAsia="Times New Roman" w:hAnsiTheme="majorHAnsi" w:cs="Times New Roman"/>
      <w:b/>
      <w:bCs/>
      <w:iCs/>
      <w:caps/>
      <w:color w:val="1C3867" w:themeColor="text2"/>
      <w:lang w:val="en-US" w:bidi="en-US"/>
    </w:rPr>
  </w:style>
  <w:style w:type="character" w:customStyle="1" w:styleId="Heading4Char">
    <w:name w:val="Heading 4 Char"/>
    <w:basedOn w:val="DefaultParagraphFont"/>
    <w:link w:val="Heading4"/>
    <w:rsid w:val="001C5785"/>
    <w:rPr>
      <w:rFonts w:asciiTheme="majorHAnsi" w:eastAsiaTheme="majorEastAsia" w:hAnsiTheme="majorHAnsi" w:cstheme="majorBidi"/>
      <w:b/>
      <w:bCs/>
      <w:i/>
      <w:iCs/>
      <w:lang w:val="en-US"/>
    </w:rPr>
  </w:style>
  <w:style w:type="paragraph" w:styleId="ListParagraph">
    <w:name w:val="List Paragraph"/>
    <w:basedOn w:val="Normal"/>
    <w:uiPriority w:val="34"/>
    <w:qFormat/>
    <w:rsid w:val="00481A71"/>
    <w:pPr>
      <w:spacing w:line="288" w:lineRule="auto"/>
      <w:ind w:left="720"/>
      <w:contextualSpacing/>
    </w:pPr>
    <w:rPr>
      <w:rFonts w:ascii="Calibri" w:eastAsia="Times New Roman" w:hAnsi="Calibri" w:cs="Times New Roman"/>
      <w:i/>
      <w:iCs/>
      <w:szCs w:val="20"/>
      <w:lang w:bidi="en-US"/>
    </w:rPr>
  </w:style>
  <w:style w:type="character" w:styleId="SubtleReference">
    <w:name w:val="Subtle Reference"/>
    <w:rsid w:val="00481A71"/>
    <w:rPr>
      <w:i/>
      <w:iCs/>
      <w:smallCaps/>
      <w:color w:val="C0504D"/>
      <w:u w:color="C0504D"/>
    </w:rPr>
  </w:style>
  <w:style w:type="paragraph" w:styleId="Header">
    <w:name w:val="header"/>
    <w:basedOn w:val="Normal"/>
    <w:link w:val="HeaderChar"/>
    <w:rsid w:val="00076007"/>
    <w:pPr>
      <w:tabs>
        <w:tab w:val="center" w:pos="4513"/>
        <w:tab w:val="right" w:pos="9026"/>
      </w:tabs>
      <w:spacing w:before="0" w:after="0" w:line="288" w:lineRule="auto"/>
      <w:ind w:right="-873"/>
      <w:jc w:val="right"/>
    </w:pPr>
    <w:rPr>
      <w:rFonts w:ascii="Calibri" w:eastAsia="Times New Roman" w:hAnsi="Calibri" w:cs="Times New Roman"/>
      <w:iCs/>
      <w:szCs w:val="20"/>
      <w:lang w:bidi="en-US"/>
    </w:rPr>
  </w:style>
  <w:style w:type="character" w:customStyle="1" w:styleId="HeaderChar">
    <w:name w:val="Header Char"/>
    <w:basedOn w:val="DefaultParagraphFont"/>
    <w:link w:val="Header"/>
    <w:rsid w:val="00076007"/>
    <w:rPr>
      <w:rFonts w:ascii="Calibri" w:eastAsia="Times New Roman" w:hAnsi="Calibri" w:cs="Times New Roman"/>
      <w:iCs/>
      <w:szCs w:val="20"/>
      <w:lang w:bidi="en-US"/>
    </w:rPr>
  </w:style>
  <w:style w:type="paragraph" w:styleId="Footer">
    <w:name w:val="footer"/>
    <w:basedOn w:val="Normal"/>
    <w:link w:val="FooterChar"/>
    <w:rsid w:val="00B108C5"/>
    <w:pPr>
      <w:spacing w:before="0" w:after="0" w:line="240" w:lineRule="auto"/>
    </w:pPr>
    <w:rPr>
      <w:rFonts w:ascii="Calibri Light" w:hAnsi="Calibri Light"/>
      <w:sz w:val="20"/>
    </w:rPr>
  </w:style>
  <w:style w:type="character" w:customStyle="1" w:styleId="FooterChar">
    <w:name w:val="Footer Char"/>
    <w:basedOn w:val="DefaultParagraphFont"/>
    <w:link w:val="Footer"/>
    <w:rsid w:val="00B108C5"/>
    <w:rPr>
      <w:rFonts w:ascii="Calibri Light" w:hAnsi="Calibri Light"/>
      <w:sz w:val="20"/>
    </w:rPr>
  </w:style>
  <w:style w:type="table" w:customStyle="1" w:styleId="LightList-Accent11">
    <w:name w:val="Light List - Accent 11"/>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customStyle="1" w:styleId="TableText">
    <w:name w:val="Table Text"/>
    <w:basedOn w:val="Normal"/>
    <w:rsid w:val="00481A71"/>
    <w:pPr>
      <w:spacing w:after="0" w:line="240" w:lineRule="auto"/>
    </w:pPr>
    <w:rPr>
      <w:rFonts w:ascii="Arial" w:hAnsi="Arial"/>
      <w:i/>
      <w:iCs/>
      <w:lang w:val="en-US"/>
    </w:rPr>
  </w:style>
  <w:style w:type="paragraph" w:customStyle="1" w:styleId="TableHeading">
    <w:name w:val="Table Heading"/>
    <w:basedOn w:val="Normal"/>
    <w:rsid w:val="00481A71"/>
    <w:pPr>
      <w:spacing w:before="60" w:after="60" w:line="240" w:lineRule="auto"/>
    </w:pPr>
    <w:rPr>
      <w:rFonts w:ascii="Arial Narrow" w:hAnsi="Arial Narrow"/>
      <w:b/>
      <w:i/>
      <w:iCs/>
      <w:lang w:val="en-US"/>
    </w:rPr>
  </w:style>
  <w:style w:type="character" w:styleId="Strong">
    <w:name w:val="Strong"/>
    <w:qFormat/>
    <w:rsid w:val="00481A71"/>
    <w:rPr>
      <w:b/>
      <w:bCs/>
      <w:spacing w:val="0"/>
    </w:rPr>
  </w:style>
  <w:style w:type="paragraph" w:styleId="Quote">
    <w:name w:val="Quote"/>
    <w:basedOn w:val="Normal"/>
    <w:next w:val="Normal"/>
    <w:link w:val="QuoteChar"/>
    <w:rsid w:val="00481A71"/>
    <w:pPr>
      <w:spacing w:before="120" w:after="120" w:line="288" w:lineRule="auto"/>
    </w:pPr>
    <w:rPr>
      <w:rFonts w:ascii="Calibri" w:eastAsia="Times New Roman" w:hAnsi="Calibri" w:cs="Times New Roman"/>
      <w:b/>
      <w:color w:val="948A54"/>
      <w:szCs w:val="20"/>
      <w:lang w:bidi="en-US"/>
    </w:rPr>
  </w:style>
  <w:style w:type="character" w:customStyle="1" w:styleId="QuoteChar">
    <w:name w:val="Quote Char"/>
    <w:basedOn w:val="DefaultParagraphFont"/>
    <w:link w:val="Quote"/>
    <w:rsid w:val="00481A71"/>
    <w:rPr>
      <w:rFonts w:ascii="Calibri" w:eastAsia="Times New Roman" w:hAnsi="Calibri" w:cs="Times New Roman"/>
      <w:b/>
      <w:color w:val="948A54"/>
      <w:szCs w:val="20"/>
      <w:lang w:bidi="en-US"/>
    </w:rPr>
  </w:style>
  <w:style w:type="paragraph" w:customStyle="1" w:styleId="SOACoverPage">
    <w:name w:val="SOA Cover Page"/>
    <w:basedOn w:val="Normal"/>
    <w:rsid w:val="00481A71"/>
    <w:pPr>
      <w:spacing w:after="0" w:line="312" w:lineRule="auto"/>
      <w:jc w:val="center"/>
    </w:pPr>
    <w:rPr>
      <w:rFonts w:ascii="Century Gothic" w:eastAsia="Times New Roman" w:hAnsi="Century Gothic" w:cs="Times New Roman"/>
      <w:sz w:val="20"/>
      <w:szCs w:val="20"/>
    </w:rPr>
  </w:style>
  <w:style w:type="paragraph" w:customStyle="1" w:styleId="NoteText">
    <w:name w:val="Note Text"/>
    <w:basedOn w:val="Normal"/>
    <w:rsid w:val="00481A71"/>
    <w:pPr>
      <w:spacing w:after="240" w:line="240" w:lineRule="auto"/>
    </w:pPr>
    <w:rPr>
      <w:rFonts w:ascii="Arial" w:eastAsia="Calibri" w:hAnsi="Arial" w:cs="Times New Roman"/>
      <w:iCs/>
      <w:sz w:val="20"/>
    </w:rPr>
  </w:style>
  <w:style w:type="character" w:customStyle="1" w:styleId="Heading5Char">
    <w:name w:val="Heading 5 Char"/>
    <w:basedOn w:val="DefaultParagraphFont"/>
    <w:link w:val="Heading5"/>
    <w:uiPriority w:val="9"/>
    <w:rsid w:val="0096478F"/>
    <w:rPr>
      <w:rFonts w:asciiTheme="majorHAnsi" w:eastAsiaTheme="majorEastAsia" w:hAnsiTheme="majorHAnsi" w:cstheme="majorBidi"/>
      <w:b/>
      <w:bCs/>
      <w:caps/>
      <w:color w:val="1C3867" w:themeColor="text2"/>
      <w:szCs w:val="26"/>
    </w:rPr>
  </w:style>
  <w:style w:type="character" w:customStyle="1" w:styleId="Heading6Char">
    <w:name w:val="Heading 6 Char"/>
    <w:basedOn w:val="DefaultParagraphFont"/>
    <w:link w:val="Heading6"/>
    <w:uiPriority w:val="9"/>
    <w:rsid w:val="0096478F"/>
    <w:rPr>
      <w:rFonts w:asciiTheme="majorHAnsi" w:eastAsiaTheme="majorEastAsia" w:hAnsiTheme="majorHAnsi" w:cstheme="majorBidi"/>
      <w:b/>
      <w:bCs/>
    </w:rPr>
  </w:style>
  <w:style w:type="paragraph" w:styleId="ListBullet">
    <w:name w:val="List Bullet"/>
    <w:basedOn w:val="Normal"/>
    <w:uiPriority w:val="99"/>
    <w:unhideWhenUsed/>
    <w:qFormat/>
    <w:rsid w:val="00D04995"/>
    <w:pPr>
      <w:numPr>
        <w:numId w:val="2"/>
      </w:numPr>
    </w:pPr>
  </w:style>
  <w:style w:type="character" w:styleId="Emphasis">
    <w:name w:val="Emphasis"/>
    <w:basedOn w:val="DefaultParagraphFont"/>
    <w:uiPriority w:val="20"/>
    <w:qFormat/>
    <w:rsid w:val="003F48A6"/>
    <w:rPr>
      <w:i/>
      <w:iCs/>
    </w:rPr>
  </w:style>
  <w:style w:type="paragraph" w:customStyle="1" w:styleId="RecommendationText">
    <w:name w:val="Recommendation Text"/>
    <w:basedOn w:val="Normal"/>
    <w:rsid w:val="00481A71"/>
    <w:pPr>
      <w:spacing w:after="240" w:line="240" w:lineRule="auto"/>
      <w:ind w:left="567"/>
    </w:pPr>
    <w:rPr>
      <w:rFonts w:ascii="Arial" w:hAnsi="Arial"/>
      <w:i/>
      <w:iCs/>
      <w:lang w:val="en-US"/>
    </w:rPr>
  </w:style>
  <w:style w:type="table" w:customStyle="1" w:styleId="LightList-Accent12">
    <w:name w:val="Light List - Accent 12"/>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jc w:val="left"/>
      </w:pPr>
      <w:rPr>
        <w:b/>
        <w:bCs/>
        <w:color w:val="FFFFFF" w:themeColor="background1"/>
      </w:rPr>
      <w:tblPr/>
      <w:tcPr>
        <w:shd w:val="clear" w:color="auto" w:fill="1C3867" w:themeFill="text2"/>
      </w:tcPr>
    </w:tblStylePr>
    <w:tblStylePr w:type="lastRow">
      <w:pPr>
        <w:spacing w:before="0" w:after="0" w:line="240" w:lineRule="auto"/>
      </w:pPr>
      <w:rPr>
        <w:b/>
        <w:bCs/>
      </w:rPr>
      <w:tblPr/>
      <w:tcPr>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BodyTextIndent">
    <w:name w:val="Body Text Indent"/>
    <w:basedOn w:val="Normal"/>
    <w:link w:val="BodyTextIndentChar"/>
    <w:rsid w:val="00481A71"/>
    <w:pPr>
      <w:spacing w:after="120" w:line="240" w:lineRule="auto"/>
      <w:ind w:left="283"/>
    </w:pPr>
    <w:rPr>
      <w:rFonts w:ascii="Arial" w:eastAsia="Times New Roman" w:hAnsi="Arial" w:cs="Times New Roman"/>
      <w:szCs w:val="20"/>
    </w:rPr>
  </w:style>
  <w:style w:type="character" w:customStyle="1" w:styleId="BodyTextIndentChar">
    <w:name w:val="Body Text Indent Char"/>
    <w:basedOn w:val="DefaultParagraphFont"/>
    <w:link w:val="BodyTextIndent"/>
    <w:rsid w:val="00481A71"/>
    <w:rPr>
      <w:rFonts w:ascii="Arial" w:eastAsia="Times New Roman" w:hAnsi="Arial" w:cs="Times New Roman"/>
      <w:szCs w:val="20"/>
    </w:rPr>
  </w:style>
  <w:style w:type="table" w:styleId="TableGrid">
    <w:name w:val="Table Grid"/>
    <w:basedOn w:val="TableNormal"/>
    <w:uiPriority w:val="59"/>
    <w:rsid w:val="00481A71"/>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5672D8"/>
    <w:pPr>
      <w:spacing w:before="0" w:after="80" w:line="240" w:lineRule="auto"/>
    </w:pPr>
    <w:rPr>
      <w:rFonts w:ascii="Calibri Light" w:eastAsia="Times New Roman" w:hAnsi="Calibri Light" w:cs="Times New Roman"/>
      <w:iCs/>
      <w:color w:val="85754E" w:themeColor="background2"/>
      <w:spacing w:val="10"/>
      <w:sz w:val="52"/>
      <w:szCs w:val="48"/>
      <w:lang w:bidi="en-US"/>
    </w:rPr>
  </w:style>
  <w:style w:type="character" w:customStyle="1" w:styleId="TitleChar">
    <w:name w:val="Title Char"/>
    <w:basedOn w:val="DefaultParagraphFont"/>
    <w:link w:val="Title"/>
    <w:uiPriority w:val="10"/>
    <w:rsid w:val="005672D8"/>
    <w:rPr>
      <w:rFonts w:ascii="Calibri Light" w:eastAsia="Times New Roman" w:hAnsi="Calibri Light" w:cs="Times New Roman"/>
      <w:iCs/>
      <w:color w:val="85754E" w:themeColor="background2"/>
      <w:spacing w:val="10"/>
      <w:sz w:val="52"/>
      <w:szCs w:val="48"/>
      <w:lang w:bidi="en-US"/>
    </w:rPr>
  </w:style>
  <w:style w:type="paragraph" w:customStyle="1" w:styleId="Default">
    <w:name w:val="Default"/>
    <w:rsid w:val="00481A71"/>
    <w:pPr>
      <w:autoSpaceDE w:val="0"/>
      <w:autoSpaceDN w:val="0"/>
      <w:adjustRightInd w:val="0"/>
      <w:spacing w:after="0" w:line="240" w:lineRule="auto"/>
    </w:pPr>
    <w:rPr>
      <w:rFonts w:ascii="Trajan" w:eastAsia="Calibri" w:hAnsi="Trajan" w:cs="Trajan"/>
      <w:color w:val="000000"/>
      <w:sz w:val="24"/>
      <w:szCs w:val="24"/>
    </w:rPr>
  </w:style>
  <w:style w:type="paragraph" w:styleId="BalloonText">
    <w:name w:val="Balloon Text"/>
    <w:basedOn w:val="Normal"/>
    <w:link w:val="BalloonTextChar"/>
    <w:uiPriority w:val="99"/>
    <w:semiHidden/>
    <w:unhideWhenUsed/>
    <w:rsid w:val="00481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A71"/>
    <w:rPr>
      <w:rFonts w:ascii="Tahoma" w:hAnsi="Tahoma" w:cs="Tahoma"/>
      <w:sz w:val="16"/>
      <w:szCs w:val="16"/>
    </w:rPr>
  </w:style>
  <w:style w:type="character" w:styleId="CommentReference">
    <w:name w:val="annotation reference"/>
    <w:basedOn w:val="DefaultParagraphFont"/>
    <w:uiPriority w:val="99"/>
    <w:semiHidden/>
    <w:unhideWhenUsed/>
    <w:rsid w:val="00481A71"/>
    <w:rPr>
      <w:sz w:val="16"/>
      <w:szCs w:val="16"/>
    </w:rPr>
  </w:style>
  <w:style w:type="paragraph" w:styleId="CommentText">
    <w:name w:val="annotation text"/>
    <w:basedOn w:val="Normal"/>
    <w:link w:val="CommentTextChar"/>
    <w:uiPriority w:val="99"/>
    <w:semiHidden/>
    <w:unhideWhenUsed/>
    <w:rsid w:val="00481A71"/>
    <w:pPr>
      <w:spacing w:line="240" w:lineRule="auto"/>
    </w:pPr>
    <w:rPr>
      <w:sz w:val="20"/>
      <w:szCs w:val="20"/>
    </w:rPr>
  </w:style>
  <w:style w:type="character" w:customStyle="1" w:styleId="CommentTextChar">
    <w:name w:val="Comment Text Char"/>
    <w:basedOn w:val="DefaultParagraphFont"/>
    <w:link w:val="CommentText"/>
    <w:uiPriority w:val="99"/>
    <w:semiHidden/>
    <w:rsid w:val="00481A71"/>
    <w:rPr>
      <w:sz w:val="20"/>
      <w:szCs w:val="20"/>
    </w:rPr>
  </w:style>
  <w:style w:type="paragraph" w:styleId="CommentSubject">
    <w:name w:val="annotation subject"/>
    <w:basedOn w:val="CommentText"/>
    <w:next w:val="CommentText"/>
    <w:link w:val="CommentSubjectChar"/>
    <w:uiPriority w:val="99"/>
    <w:semiHidden/>
    <w:unhideWhenUsed/>
    <w:rsid w:val="00481A71"/>
    <w:rPr>
      <w:b/>
      <w:bCs/>
    </w:rPr>
  </w:style>
  <w:style w:type="character" w:customStyle="1" w:styleId="CommentSubjectChar">
    <w:name w:val="Comment Subject Char"/>
    <w:basedOn w:val="CommentTextChar"/>
    <w:link w:val="CommentSubject"/>
    <w:uiPriority w:val="99"/>
    <w:semiHidden/>
    <w:rsid w:val="00481A71"/>
    <w:rPr>
      <w:b/>
      <w:bCs/>
      <w:sz w:val="20"/>
      <w:szCs w:val="20"/>
    </w:rPr>
  </w:style>
  <w:style w:type="character" w:styleId="PlaceholderText">
    <w:name w:val="Placeholder Text"/>
    <w:basedOn w:val="DefaultParagraphFont"/>
    <w:uiPriority w:val="99"/>
    <w:rsid w:val="00481A71"/>
    <w:rPr>
      <w:color w:val="808080"/>
    </w:rPr>
  </w:style>
  <w:style w:type="table" w:customStyle="1" w:styleId="LightList-Accent13">
    <w:name w:val="Light List - Accent 13"/>
    <w:basedOn w:val="TableNormal"/>
    <w:uiPriority w:val="61"/>
    <w:rsid w:val="009A1740"/>
    <w:pPr>
      <w:spacing w:after="0" w:line="240" w:lineRule="auto"/>
    </w:pPr>
    <w:tblPr>
      <w:tblStyleRowBandSize w:val="1"/>
      <w:tblStyleColBandSize w:val="1"/>
      <w:tblBorders>
        <w:top w:val="single" w:sz="8" w:space="0" w:color="1C3867" w:themeColor="accent1"/>
        <w:left w:val="single" w:sz="8" w:space="0" w:color="1C3867" w:themeColor="accent1"/>
        <w:bottom w:val="single" w:sz="8" w:space="0" w:color="1C3867" w:themeColor="accent1"/>
        <w:right w:val="single" w:sz="8" w:space="0" w:color="1C3867" w:themeColor="accent1"/>
      </w:tblBorders>
    </w:tblPr>
    <w:tblStylePr w:type="firstRow">
      <w:pPr>
        <w:spacing w:before="0" w:after="0" w:line="240" w:lineRule="auto"/>
      </w:pPr>
      <w:rPr>
        <w:b/>
        <w:bCs/>
        <w:color w:val="FFFFFF" w:themeColor="background1"/>
      </w:rPr>
      <w:tblPr/>
      <w:tcPr>
        <w:shd w:val="clear" w:color="auto" w:fill="1C3867" w:themeFill="accent1"/>
      </w:tcPr>
    </w:tblStylePr>
    <w:tblStylePr w:type="lastRow">
      <w:pPr>
        <w:spacing w:before="0" w:after="0" w:line="240" w:lineRule="auto"/>
      </w:pPr>
      <w:rPr>
        <w:b/>
        <w:bCs/>
      </w:rPr>
      <w:tblPr/>
      <w:tcPr>
        <w:tcBorders>
          <w:top w:val="double" w:sz="6" w:space="0" w:color="1C3867" w:themeColor="accent1"/>
          <w:left w:val="single" w:sz="8" w:space="0" w:color="1C3867" w:themeColor="accent1"/>
          <w:bottom w:val="single" w:sz="8" w:space="0" w:color="1C3867" w:themeColor="accent1"/>
          <w:right w:val="single" w:sz="8" w:space="0" w:color="1C3867" w:themeColor="accent1"/>
        </w:tcBorders>
      </w:tcPr>
    </w:tblStylePr>
    <w:tblStylePr w:type="firstCol">
      <w:rPr>
        <w:b/>
        <w:bCs/>
      </w:rPr>
    </w:tblStylePr>
    <w:tblStylePr w:type="lastCol">
      <w:rPr>
        <w:b/>
        <w:bCs/>
      </w:rPr>
    </w:tblStylePr>
    <w:tblStylePr w:type="band1Vert">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tblStylePr w:type="band1Horz">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style>
  <w:style w:type="table" w:customStyle="1" w:styleId="LightList-Accent111">
    <w:name w:val="Light List - Accent 111"/>
    <w:basedOn w:val="TableNormal"/>
    <w:rsid w:val="00A933B9"/>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NoSpacing">
    <w:name w:val="No Spacing"/>
    <w:basedOn w:val="Normal"/>
    <w:link w:val="NoSpacingChar"/>
    <w:uiPriority w:val="1"/>
    <w:qFormat/>
    <w:rsid w:val="00A933B9"/>
    <w:pPr>
      <w:spacing w:after="0" w:line="240" w:lineRule="auto"/>
    </w:pPr>
    <w:rPr>
      <w:iCs/>
      <w:szCs w:val="20"/>
      <w:lang w:eastAsia="en-US"/>
    </w:rPr>
  </w:style>
  <w:style w:type="character" w:customStyle="1" w:styleId="NoSpacingChar">
    <w:name w:val="No Spacing Char"/>
    <w:basedOn w:val="DefaultParagraphFont"/>
    <w:link w:val="NoSpacing"/>
    <w:uiPriority w:val="1"/>
    <w:rsid w:val="00A933B9"/>
    <w:rPr>
      <w:iCs/>
      <w:szCs w:val="20"/>
      <w:lang w:eastAsia="en-US"/>
    </w:rPr>
  </w:style>
  <w:style w:type="table" w:customStyle="1" w:styleId="LightList-Accent121">
    <w:name w:val="Light List - Accent 121"/>
    <w:basedOn w:val="TableNormal"/>
    <w:rsid w:val="00CF779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jc w:val="left"/>
      </w:pPr>
      <w:rPr>
        <w:b/>
        <w:bCs/>
        <w:color w:val="FFFFFF"/>
      </w:rPr>
      <w:tblPr/>
      <w:tcPr>
        <w:shd w:val="clear" w:color="auto" w:fill="1F497D"/>
      </w:tcPr>
    </w:tblStylePr>
    <w:tblStylePr w:type="lastRow">
      <w:pPr>
        <w:spacing w:before="0" w:after="0" w:line="240" w:lineRule="auto"/>
      </w:pPr>
      <w:rPr>
        <w:b/>
        <w:bCs/>
      </w:rPr>
      <w:tblPr/>
      <w:tcPr>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table" w:customStyle="1" w:styleId="LightList-Accent112">
    <w:name w:val="Light List - Accent 112"/>
    <w:basedOn w:val="TableNormal"/>
    <w:rsid w:val="005970B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ListNumber">
    <w:name w:val="List Number"/>
    <w:basedOn w:val="Normal"/>
    <w:uiPriority w:val="99"/>
    <w:unhideWhenUsed/>
    <w:qFormat/>
    <w:rsid w:val="003F48A6"/>
    <w:pPr>
      <w:numPr>
        <w:numId w:val="4"/>
      </w:numPr>
      <w:contextualSpacing/>
    </w:pPr>
  </w:style>
  <w:style w:type="paragraph" w:customStyle="1" w:styleId="Spacer-1px">
    <w:name w:val="Spacer - 1px"/>
    <w:basedOn w:val="Normal"/>
    <w:rsid w:val="000F52AB"/>
    <w:pPr>
      <w:spacing w:before="0" w:after="0" w:line="240" w:lineRule="auto"/>
    </w:pPr>
    <w:rPr>
      <w:noProof/>
      <w:sz w:val="2"/>
      <w:szCs w:val="2"/>
    </w:rPr>
  </w:style>
  <w:style w:type="paragraph" w:styleId="Subtitle">
    <w:name w:val="Subtitle"/>
    <w:basedOn w:val="Normal"/>
    <w:next w:val="Normal"/>
    <w:link w:val="SubtitleChar"/>
    <w:uiPriority w:val="11"/>
    <w:qFormat/>
    <w:rsid w:val="00F07E81"/>
    <w:pPr>
      <w:spacing w:before="60" w:after="0" w:line="216" w:lineRule="auto"/>
    </w:pPr>
    <w:rPr>
      <w:sz w:val="23"/>
    </w:rPr>
  </w:style>
  <w:style w:type="character" w:customStyle="1" w:styleId="SubtitleChar">
    <w:name w:val="Subtitle Char"/>
    <w:basedOn w:val="DefaultParagraphFont"/>
    <w:link w:val="Subtitle"/>
    <w:uiPriority w:val="11"/>
    <w:rsid w:val="00F07E81"/>
    <w:rPr>
      <w:sz w:val="23"/>
    </w:rPr>
  </w:style>
  <w:style w:type="paragraph" w:customStyle="1" w:styleId="Spacer-cover">
    <w:name w:val="Spacer - cover"/>
    <w:basedOn w:val="Normal"/>
    <w:rsid w:val="005672D8"/>
    <w:pPr>
      <w:spacing w:after="9960"/>
    </w:pPr>
  </w:style>
  <w:style w:type="paragraph" w:customStyle="1" w:styleId="Coverservicesboxtext">
    <w:name w:val="Cover services box text"/>
    <w:basedOn w:val="Normal"/>
    <w:rsid w:val="00546F37"/>
    <w:pPr>
      <w:spacing w:before="0" w:after="0"/>
      <w:jc w:val="center"/>
    </w:pPr>
    <w:rPr>
      <w:b/>
      <w:caps/>
      <w:color w:val="FFFFFF" w:themeColor="background1"/>
      <w:sz w:val="27"/>
      <w:szCs w:val="27"/>
    </w:rPr>
  </w:style>
  <w:style w:type="paragraph" w:customStyle="1" w:styleId="Covercontactdetails">
    <w:name w:val="Cover contact details"/>
    <w:basedOn w:val="Normal"/>
    <w:rsid w:val="00050628"/>
    <w:pPr>
      <w:spacing w:before="0" w:after="0" w:line="240" w:lineRule="auto"/>
      <w:ind w:left="-142" w:right="-228"/>
      <w:jc w:val="center"/>
    </w:pPr>
    <w:rPr>
      <w:rFonts w:ascii="Calibri Light" w:hAnsi="Calibri Light"/>
      <w:sz w:val="21"/>
      <w:szCs w:val="21"/>
    </w:rPr>
  </w:style>
  <w:style w:type="paragraph" w:customStyle="1" w:styleId="Covercontactheading">
    <w:name w:val="Cover contact heading"/>
    <w:basedOn w:val="Covercontactdetails"/>
    <w:rsid w:val="00050628"/>
    <w:rPr>
      <w:sz w:val="23"/>
      <w:szCs w:val="23"/>
    </w:rPr>
  </w:style>
  <w:style w:type="character" w:customStyle="1" w:styleId="BoldBlue">
    <w:name w:val="Bold + Blue"/>
    <w:basedOn w:val="DefaultParagraphFont"/>
    <w:uiPriority w:val="1"/>
    <w:qFormat/>
    <w:rsid w:val="00050628"/>
    <w:rPr>
      <w:b/>
      <w:color w:val="1C3867" w:themeColor="text2"/>
    </w:rPr>
  </w:style>
  <w:style w:type="character" w:customStyle="1" w:styleId="Blue">
    <w:name w:val="Blue"/>
    <w:basedOn w:val="DefaultParagraphFont"/>
    <w:uiPriority w:val="1"/>
    <w:qFormat/>
    <w:rsid w:val="00D9079F"/>
    <w:rPr>
      <w:color w:val="1C3867" w:themeColor="text2"/>
    </w:rPr>
  </w:style>
  <w:style w:type="paragraph" w:customStyle="1" w:styleId="Coverheader">
    <w:name w:val="Cover header"/>
    <w:basedOn w:val="Header"/>
    <w:rsid w:val="00076007"/>
    <w:pPr>
      <w:ind w:right="0"/>
    </w:pPr>
    <w:rPr>
      <w:noProof/>
    </w:rPr>
  </w:style>
  <w:style w:type="character" w:styleId="PageNumber">
    <w:name w:val="page number"/>
    <w:uiPriority w:val="99"/>
    <w:unhideWhenUsed/>
    <w:rsid w:val="00B27AAF"/>
    <w:rPr>
      <w:color w:val="1C3867" w:themeColor="text2"/>
    </w:rPr>
  </w:style>
  <w:style w:type="paragraph" w:customStyle="1" w:styleId="CoverpageTitle">
    <w:name w:val="Coverpage Title"/>
    <w:basedOn w:val="Normal"/>
    <w:rsid w:val="003F65C3"/>
    <w:pPr>
      <w:spacing w:after="240"/>
    </w:pPr>
    <w:rPr>
      <w:rFonts w:ascii="Calibri Light" w:hAnsi="Calibri Light"/>
      <w:sz w:val="64"/>
      <w:szCs w:val="64"/>
    </w:rPr>
  </w:style>
  <w:style w:type="paragraph" w:customStyle="1" w:styleId="CoverpageSubtitle">
    <w:name w:val="Coverpage Subtitle"/>
    <w:basedOn w:val="Normal"/>
    <w:rsid w:val="00D467FF"/>
    <w:pPr>
      <w:spacing w:before="0" w:after="120" w:line="240" w:lineRule="auto"/>
      <w:ind w:right="346"/>
    </w:pPr>
    <w:rPr>
      <w:rFonts w:ascii="Calibri Light" w:eastAsia="Times New Roman" w:hAnsi="Calibri Light" w:cs="Times New Roman"/>
      <w:noProof/>
      <w:sz w:val="26"/>
      <w:szCs w:val="26"/>
      <w:lang w:val="en-US"/>
    </w:rPr>
  </w:style>
  <w:style w:type="paragraph" w:customStyle="1" w:styleId="CoverpageContactDetails">
    <w:name w:val="Coverpage Contact Details"/>
    <w:basedOn w:val="Normal"/>
    <w:rsid w:val="00D467FF"/>
    <w:pPr>
      <w:tabs>
        <w:tab w:val="left" w:pos="882"/>
      </w:tabs>
      <w:spacing w:before="0" w:after="120" w:line="240" w:lineRule="auto"/>
    </w:pPr>
    <w:rPr>
      <w:rFonts w:ascii="Calibri" w:eastAsia="Times New Roman" w:hAnsi="Calibri" w:cs="Times New Roman"/>
      <w:szCs w:val="20"/>
      <w:lang w:val="en-US"/>
    </w:rPr>
  </w:style>
  <w:style w:type="paragraph" w:styleId="TOCHeading">
    <w:name w:val="TOC Heading"/>
    <w:basedOn w:val="Normal"/>
    <w:next w:val="Normal"/>
    <w:uiPriority w:val="39"/>
    <w:unhideWhenUsed/>
    <w:rsid w:val="00546F37"/>
    <w:pPr>
      <w:spacing w:before="0" w:after="240" w:line="500" w:lineRule="exact"/>
    </w:pPr>
    <w:rPr>
      <w:b/>
      <w:caps/>
      <w:color w:val="1C3867" w:themeColor="text2"/>
      <w:sz w:val="48"/>
      <w:szCs w:val="48"/>
    </w:rPr>
  </w:style>
  <w:style w:type="paragraph" w:styleId="TOC1">
    <w:name w:val="toc 1"/>
    <w:basedOn w:val="DividerPageTitle"/>
    <w:next w:val="Normal"/>
    <w:autoRedefine/>
    <w:uiPriority w:val="39"/>
    <w:unhideWhenUsed/>
    <w:rsid w:val="00CB141D"/>
    <w:pPr>
      <w:pBdr>
        <w:between w:val="single" w:sz="4" w:space="1" w:color="85754E" w:themeColor="background2"/>
      </w:pBdr>
      <w:tabs>
        <w:tab w:val="right" w:pos="9072"/>
      </w:tabs>
      <w:spacing w:before="120" w:after="60"/>
      <w:ind w:left="0" w:right="1655" w:firstLine="0"/>
    </w:pPr>
    <w:rPr>
      <w:b w:val="0"/>
      <w:noProof/>
      <w:color w:val="85754E" w:themeColor="accent2"/>
      <w:sz w:val="26"/>
    </w:rPr>
  </w:style>
  <w:style w:type="character" w:styleId="Hyperlink">
    <w:name w:val="Hyperlink"/>
    <w:basedOn w:val="DefaultParagraphFont"/>
    <w:uiPriority w:val="99"/>
    <w:unhideWhenUsed/>
    <w:rsid w:val="00546F37"/>
    <w:rPr>
      <w:color w:val="414042" w:themeColor="hyperlink"/>
      <w:u w:val="single"/>
    </w:rPr>
  </w:style>
  <w:style w:type="table" w:styleId="ListTable3-Accent1">
    <w:name w:val="List Table 3 Accent 1"/>
    <w:basedOn w:val="TableNormal"/>
    <w:uiPriority w:val="48"/>
    <w:rsid w:val="00B94863"/>
    <w:pPr>
      <w:spacing w:after="0" w:line="240" w:lineRule="auto"/>
    </w:pPr>
    <w:tblPr>
      <w:tblStyleRowBandSize w:val="1"/>
      <w:tblStyleColBandSize w:val="1"/>
      <w:tblBorders>
        <w:top w:val="single" w:sz="4" w:space="0" w:color="1C3867" w:themeColor="accent1"/>
        <w:left w:val="single" w:sz="4" w:space="0" w:color="1C3867" w:themeColor="accent1"/>
        <w:bottom w:val="single" w:sz="4" w:space="0" w:color="1C3867" w:themeColor="accent1"/>
        <w:right w:val="single" w:sz="4" w:space="0" w:color="1C3867" w:themeColor="accent1"/>
      </w:tblBorders>
    </w:tblPr>
    <w:tblStylePr w:type="firstRow">
      <w:rPr>
        <w:b/>
        <w:bCs/>
        <w:color w:val="FFFFFF" w:themeColor="background1"/>
      </w:rPr>
      <w:tblPr/>
      <w:tcPr>
        <w:shd w:val="clear" w:color="auto" w:fill="1C3867" w:themeFill="accent1"/>
      </w:tcPr>
    </w:tblStylePr>
    <w:tblStylePr w:type="lastRow">
      <w:rPr>
        <w:b/>
        <w:bCs/>
      </w:rPr>
      <w:tblPr/>
      <w:tcPr>
        <w:tcBorders>
          <w:top w:val="double" w:sz="4" w:space="0" w:color="1C38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867" w:themeColor="accent1"/>
          <w:right w:val="single" w:sz="4" w:space="0" w:color="1C3867" w:themeColor="accent1"/>
        </w:tcBorders>
      </w:tcPr>
    </w:tblStylePr>
    <w:tblStylePr w:type="band1Horz">
      <w:tblPr/>
      <w:tcPr>
        <w:tcBorders>
          <w:top w:val="single" w:sz="4" w:space="0" w:color="1C3867" w:themeColor="accent1"/>
          <w:bottom w:val="single" w:sz="4" w:space="0" w:color="1C38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867" w:themeColor="accent1"/>
          <w:left w:val="nil"/>
        </w:tcBorders>
      </w:tcPr>
    </w:tblStylePr>
    <w:tblStylePr w:type="swCell">
      <w:tblPr/>
      <w:tcPr>
        <w:tcBorders>
          <w:top w:val="double" w:sz="4" w:space="0" w:color="1C3867" w:themeColor="accent1"/>
          <w:right w:val="nil"/>
        </w:tcBorders>
      </w:tcPr>
    </w:tblStylePr>
  </w:style>
  <w:style w:type="table" w:customStyle="1" w:styleId="HNWTable01">
    <w:name w:val="HNW Table 01"/>
    <w:basedOn w:val="TableNormal"/>
    <w:uiPriority w:val="99"/>
    <w:rsid w:val="00EC6793"/>
    <w:pPr>
      <w:spacing w:before="40" w:after="40"/>
    </w:pPr>
    <w:tblPr>
      <w:tblBorders>
        <w:bottom w:val="single" w:sz="4" w:space="0" w:color="85754E" w:themeColor="background2"/>
        <w:insideH w:val="single" w:sz="4" w:space="0" w:color="85754E" w:themeColor="background2"/>
      </w:tblBorders>
    </w:tblPr>
    <w:tblStylePr w:type="firstRow">
      <w:rPr>
        <w:b/>
        <w:color w:val="FFFFFF" w:themeColor="background1"/>
      </w:rPr>
      <w:tblPr>
        <w:tblCellMar>
          <w:top w:w="0" w:type="dxa"/>
          <w:left w:w="85" w:type="dxa"/>
          <w:bottom w:w="0" w:type="dxa"/>
          <w:right w:w="85" w:type="dxa"/>
        </w:tblCellMar>
      </w:tblPr>
      <w:tcPr>
        <w:tcBorders>
          <w:top w:val="nil"/>
          <w:left w:val="nil"/>
          <w:bottom w:val="nil"/>
          <w:right w:val="nil"/>
          <w:insideH w:val="nil"/>
          <w:insideV w:val="single" w:sz="4" w:space="0" w:color="FFFFFF" w:themeColor="background1"/>
          <w:tl2br w:val="nil"/>
          <w:tr2bl w:val="nil"/>
        </w:tcBorders>
        <w:shd w:val="clear" w:color="auto" w:fill="1C3867" w:themeFill="text2"/>
      </w:tcPr>
    </w:tblStylePr>
    <w:tblStylePr w:type="lastRow">
      <w:rPr>
        <w:b/>
      </w:rPr>
      <w:tblPr/>
      <w:tcPr>
        <w:tcBorders>
          <w:bottom w:val="single" w:sz="4" w:space="0" w:color="85754E" w:themeColor="background2"/>
        </w:tcBorders>
        <w:shd w:val="clear" w:color="auto" w:fill="F3F1ED" w:themeFill="accent6"/>
      </w:tcPr>
    </w:tblStylePr>
    <w:tblStylePr w:type="firstCol">
      <w:rPr>
        <w:b/>
        <w:color w:val="FFFFFF" w:themeColor="background1"/>
      </w:rPr>
      <w:tblPr/>
      <w:tcPr>
        <w:tcBorders>
          <w:bottom w:val="nil"/>
          <w:insideH w:val="dotted" w:sz="4" w:space="0" w:color="FFFFFF" w:themeColor="background1"/>
        </w:tcBorders>
        <w:shd w:val="clear" w:color="auto" w:fill="1C3867" w:themeFill="text2"/>
      </w:tcPr>
    </w:tblStylePr>
  </w:style>
  <w:style w:type="paragraph" w:customStyle="1" w:styleId="DividerPageTitle">
    <w:name w:val="Divider Page Title"/>
    <w:basedOn w:val="Title"/>
    <w:qFormat/>
    <w:rsid w:val="00AE7144"/>
    <w:pPr>
      <w:ind w:left="4536" w:right="-472" w:hanging="4962"/>
    </w:pPr>
    <w:rPr>
      <w:rFonts w:asciiTheme="majorHAnsi" w:hAnsiTheme="majorHAnsi"/>
      <w:b/>
    </w:rPr>
  </w:style>
  <w:style w:type="paragraph" w:styleId="ListNumber2">
    <w:name w:val="List Number 2"/>
    <w:basedOn w:val="Normal"/>
    <w:uiPriority w:val="99"/>
    <w:unhideWhenUsed/>
    <w:qFormat/>
    <w:rsid w:val="000B4975"/>
    <w:pPr>
      <w:numPr>
        <w:numId w:val="5"/>
      </w:numPr>
      <w:ind w:left="714" w:hanging="357"/>
      <w:contextualSpacing/>
    </w:pPr>
  </w:style>
  <w:style w:type="paragraph" w:styleId="ListBullet2">
    <w:name w:val="List Bullet 2"/>
    <w:basedOn w:val="Normal"/>
    <w:uiPriority w:val="99"/>
    <w:unhideWhenUsed/>
    <w:qFormat/>
    <w:rsid w:val="000B4975"/>
    <w:pPr>
      <w:numPr>
        <w:numId w:val="3"/>
      </w:numPr>
      <w:ind w:left="714" w:hanging="357"/>
      <w:contextualSpacing/>
    </w:pPr>
  </w:style>
  <w:style w:type="paragraph" w:customStyle="1" w:styleId="DividerPageNumber">
    <w:name w:val="Divider Page Number"/>
    <w:basedOn w:val="DividerPageTitle"/>
    <w:qFormat/>
    <w:rsid w:val="003C5147"/>
    <w:pPr>
      <w:spacing w:before="240" w:after="0"/>
    </w:pPr>
    <w:rPr>
      <w:rFonts w:ascii="Calibri Light" w:hAnsi="Calibri Light"/>
      <w:b w:val="0"/>
      <w:color w:val="C2B8A4" w:themeColor="accent6" w:themeShade="BF"/>
      <w:sz w:val="100"/>
      <w:szCs w:val="100"/>
    </w:rPr>
  </w:style>
  <w:style w:type="paragraph" w:styleId="TOC2">
    <w:name w:val="toc 2"/>
    <w:basedOn w:val="Normal"/>
    <w:next w:val="Normal"/>
    <w:autoRedefine/>
    <w:uiPriority w:val="39"/>
    <w:unhideWhenUsed/>
    <w:rsid w:val="00CB141D"/>
    <w:pPr>
      <w:tabs>
        <w:tab w:val="right" w:pos="7371"/>
      </w:tabs>
      <w:ind w:left="220" w:right="1655"/>
    </w:pPr>
  </w:style>
  <w:style w:type="table" w:customStyle="1" w:styleId="LightList-Accent113">
    <w:name w:val="Light List - Accent 113"/>
    <w:basedOn w:val="TableNormal"/>
    <w:rsid w:val="00EA5C5F"/>
    <w:pPr>
      <w:spacing w:before="0" w:after="0" w:line="240" w:lineRule="auto"/>
    </w:pPr>
    <w:rPr>
      <w:rFonts w:ascii="Calibri" w:eastAsia="Times New Roman" w:hAnsi="Calibri" w:cs="Times New Roman"/>
      <w:color w:val="auto"/>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character" w:styleId="SubtleEmphasis">
    <w:name w:val="Subtle Emphasis"/>
    <w:uiPriority w:val="19"/>
    <w:qFormat/>
    <w:rsid w:val="00EA5C5F"/>
    <w:rPr>
      <w:i/>
      <w:iCs/>
      <w:color w:val="0E1B33" w:themeColor="accent1" w:themeShade="7F"/>
    </w:rPr>
  </w:style>
  <w:style w:type="paragraph" w:customStyle="1" w:styleId="gmail-msolistparagraph">
    <w:name w:val="gmail-msolistparagraph"/>
    <w:basedOn w:val="Normal"/>
    <w:rsid w:val="00205A1C"/>
    <w:pPr>
      <w:spacing w:beforeAutospacing="1" w:afterAutospacing="1"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60596">
      <w:bodyDiv w:val="1"/>
      <w:marLeft w:val="0"/>
      <w:marRight w:val="0"/>
      <w:marTop w:val="0"/>
      <w:marBottom w:val="0"/>
      <w:divBdr>
        <w:top w:val="none" w:sz="0" w:space="0" w:color="auto"/>
        <w:left w:val="none" w:sz="0" w:space="0" w:color="auto"/>
        <w:bottom w:val="none" w:sz="0" w:space="0" w:color="auto"/>
        <w:right w:val="none" w:sz="0" w:space="0" w:color="auto"/>
      </w:divBdr>
    </w:div>
    <w:div w:id="805590100">
      <w:bodyDiv w:val="1"/>
      <w:marLeft w:val="0"/>
      <w:marRight w:val="0"/>
      <w:marTop w:val="0"/>
      <w:marBottom w:val="0"/>
      <w:divBdr>
        <w:top w:val="none" w:sz="0" w:space="0" w:color="auto"/>
        <w:left w:val="none" w:sz="0" w:space="0" w:color="auto"/>
        <w:bottom w:val="none" w:sz="0" w:space="0" w:color="auto"/>
        <w:right w:val="none" w:sz="0" w:space="0" w:color="auto"/>
      </w:divBdr>
    </w:div>
    <w:div w:id="108391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customXml" Target="../customXml/item4.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HNW Planning">
      <a:dk1>
        <a:srgbClr val="414042"/>
      </a:dk1>
      <a:lt1>
        <a:sysClr val="window" lastClr="FFFFFF"/>
      </a:lt1>
      <a:dk2>
        <a:srgbClr val="1C3867"/>
      </a:dk2>
      <a:lt2>
        <a:srgbClr val="85754E"/>
      </a:lt2>
      <a:accent1>
        <a:srgbClr val="1C3867"/>
      </a:accent1>
      <a:accent2>
        <a:srgbClr val="85754E"/>
      </a:accent2>
      <a:accent3>
        <a:srgbClr val="BFBFBF"/>
      </a:accent3>
      <a:accent4>
        <a:srgbClr val="D8E3F4"/>
      </a:accent4>
      <a:accent5>
        <a:srgbClr val="8FAEE1"/>
      </a:accent5>
      <a:accent6>
        <a:srgbClr val="F3F1ED"/>
      </a:accent6>
      <a:hlink>
        <a:srgbClr val="414042"/>
      </a:hlink>
      <a:folHlink>
        <a:srgbClr val="414042"/>
      </a:folHlink>
    </a:clrScheme>
    <a:fontScheme name="HNW Plan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B7E12DB769164D9B28CF2966ED06A5" ma:contentTypeVersion="18" ma:contentTypeDescription="Create a new document." ma:contentTypeScope="" ma:versionID="b1cf0de051bf7debcc6ef2709dcc322f">
  <xsd:schema xmlns:xsd="http://www.w3.org/2001/XMLSchema" xmlns:xs="http://www.w3.org/2001/XMLSchema" xmlns:p="http://schemas.microsoft.com/office/2006/metadata/properties" xmlns:ns2="05ed5d80-5be2-462c-bec3-14caa38b63ef" xmlns:ns3="d34886c6-c96d-4e06-9b0f-8bf2e5627e94" targetNamespace="http://schemas.microsoft.com/office/2006/metadata/properties" ma:root="true" ma:fieldsID="e5604587374308a70ae58d20261ba291" ns2:_="" ns3:_="">
    <xsd:import namespace="05ed5d80-5be2-462c-bec3-14caa38b63ef"/>
    <xsd:import namespace="d34886c6-c96d-4e06-9b0f-8bf2e5627e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d5d80-5be2-462c-bec3-14caa38b6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80ed09-d592-4bd7-b427-6fdad931ee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886c6-c96d-4e06-9b0f-8bf2e5627e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e7be3a-e7a5-4894-b300-2d15a6cac6d7}" ma:internalName="TaxCatchAll" ma:showField="CatchAllData" ma:web="d34886c6-c96d-4e06-9b0f-8bf2e5627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ed5d80-5be2-462c-bec3-14caa38b63ef">
      <Terms xmlns="http://schemas.microsoft.com/office/infopath/2007/PartnerControls"/>
    </lcf76f155ced4ddcb4097134ff3c332f>
    <TaxCatchAll xmlns="d34886c6-c96d-4e06-9b0f-8bf2e5627e94" xsi:nil="true"/>
  </documentManagement>
</p:properties>
</file>

<file path=customXml/itemProps1.xml><?xml version="1.0" encoding="utf-8"?>
<ds:datastoreItem xmlns:ds="http://schemas.openxmlformats.org/officeDocument/2006/customXml" ds:itemID="{AC1015A8-CD1F-494F-AD69-791D596A9360}">
  <ds:schemaRefs>
    <ds:schemaRef ds:uri="http://schemas.openxmlformats.org/officeDocument/2006/bibliography"/>
  </ds:schemaRefs>
</ds:datastoreItem>
</file>

<file path=customXml/itemProps2.xml><?xml version="1.0" encoding="utf-8"?>
<ds:datastoreItem xmlns:ds="http://schemas.openxmlformats.org/officeDocument/2006/customXml" ds:itemID="{3351ED05-27C4-49D6-BA33-CC2CA55C97F7}"/>
</file>

<file path=customXml/itemProps3.xml><?xml version="1.0" encoding="utf-8"?>
<ds:datastoreItem xmlns:ds="http://schemas.openxmlformats.org/officeDocument/2006/customXml" ds:itemID="{AF168B78-7C30-45B6-8673-5CF7AE90FE1F}"/>
</file>

<file path=customXml/itemProps4.xml><?xml version="1.0" encoding="utf-8"?>
<ds:datastoreItem xmlns:ds="http://schemas.openxmlformats.org/officeDocument/2006/customXml" ds:itemID="{D2128EA2-CE4D-4556-A82F-B27FD443C99B}"/>
</file>

<file path=docProps/app.xml><?xml version="1.0" encoding="utf-8"?>
<Properties xmlns="http://schemas.openxmlformats.org/officeDocument/2006/extended-properties" xmlns:vt="http://schemas.openxmlformats.org/officeDocument/2006/docPropsVTypes">
  <Template>Normal</Template>
  <TotalTime>32</TotalTime>
  <Pages>14</Pages>
  <Words>3458</Words>
  <Characters>19711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Tracy Brown</cp:lastModifiedBy>
  <cp:revision>3</cp:revision>
  <cp:lastPrinted>2019-09-12T06:02:00Z</cp:lastPrinted>
  <dcterms:created xsi:type="dcterms:W3CDTF">2024-05-16T00:38:00Z</dcterms:created>
  <dcterms:modified xsi:type="dcterms:W3CDTF">2024-05-16T00:39:00Z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0x0101002CB7E12DB769164D9B28CF2966ED06A5</vt:lpwstr>
  </property>
</Properties>
</file>